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20B" w:rsidRPr="004C75D6" w:rsidRDefault="00C5620B" w:rsidP="004C75D6">
      <w:pPr>
        <w:adjustRightInd w:val="0"/>
        <w:snapToGrid w:val="0"/>
        <w:jc w:val="center"/>
        <w:rPr>
          <w:rFonts w:eastAsia="Calibri" w:cs="Arial"/>
          <w:bCs/>
          <w:color w:val="000000"/>
          <w:szCs w:val="20"/>
        </w:rPr>
      </w:pPr>
      <w:r w:rsidRPr="004C75D6">
        <w:rPr>
          <w:rFonts w:eastAsia="Calibri" w:cs="Arial"/>
          <w:b/>
          <w:bCs/>
          <w:color w:val="000000"/>
          <w:szCs w:val="20"/>
        </w:rPr>
        <w:t>Mẫu I.1.8.a</w:t>
      </w:r>
    </w:p>
    <w:p w:rsidR="00C5620B" w:rsidRPr="004C75D6" w:rsidRDefault="00C5620B"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C5620B" w:rsidRPr="004C75D6" w:rsidRDefault="00C5620B" w:rsidP="004C75D6">
      <w:pPr>
        <w:adjustRightInd w:val="0"/>
        <w:snapToGrid w:val="0"/>
        <w:jc w:val="center"/>
        <w:rPr>
          <w:rFonts w:eastAsia="Calibri" w:cs="Arial"/>
          <w:bCs/>
          <w:color w:val="000000"/>
          <w:szCs w:val="20"/>
        </w:rPr>
      </w:pPr>
      <w:r w:rsidRPr="004C75D6">
        <w:rPr>
          <w:rFonts w:eastAsia="Calibri" w:cs="Arial"/>
          <w:bCs/>
          <w:i/>
          <w:iCs/>
          <w:color w:val="000000"/>
          <w:szCs w:val="20"/>
        </w:rPr>
        <w:t>(Trường hợp chuyển nhượng một phần hoặc toàn bộ dự án đầu tư)</w:t>
      </w:r>
    </w:p>
    <w:p w:rsidR="00C5620B" w:rsidRPr="004C75D6" w:rsidRDefault="00C5620B" w:rsidP="004C75D6">
      <w:pPr>
        <w:adjustRightInd w:val="0"/>
        <w:snapToGrid w:val="0"/>
        <w:jc w:val="center"/>
        <w:rPr>
          <w:rFonts w:eastAsia="Calibri" w:cs="Arial"/>
          <w:bCs/>
          <w:color w:val="000000"/>
          <w:szCs w:val="20"/>
        </w:rPr>
      </w:pPr>
      <w:r w:rsidRPr="004C75D6">
        <w:rPr>
          <w:rFonts w:eastAsia="Calibri" w:cs="Arial"/>
          <w:bCs/>
          <w:i/>
          <w:iCs/>
          <w:color w:val="000000"/>
          <w:szCs w:val="20"/>
        </w:rPr>
        <w:t>Điều 57 Nghị định số 96/2026/NĐ-CP</w:t>
      </w:r>
    </w:p>
    <w:p w:rsidR="00C5620B" w:rsidRPr="004C75D6" w:rsidRDefault="00C5620B"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 </w:t>
      </w:r>
    </w:p>
    <w:p w:rsidR="00C5620B" w:rsidRPr="004C75D6" w:rsidRDefault="00C5620B"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C5620B" w:rsidRPr="004C75D6" w:rsidRDefault="00C5620B" w:rsidP="004C75D6">
      <w:pPr>
        <w:adjustRightInd w:val="0"/>
        <w:snapToGrid w:val="0"/>
        <w:jc w:val="center"/>
        <w:rPr>
          <w:rFonts w:eastAsia="Calibri" w:cs="Arial"/>
          <w:b/>
          <w:bCs/>
          <w:color w:val="000000"/>
          <w:szCs w:val="20"/>
        </w:rPr>
      </w:pPr>
    </w:p>
    <w:p w:rsidR="00C5620B" w:rsidRPr="004C75D6" w:rsidRDefault="00C5620B"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C5620B" w:rsidRPr="004C75D6" w:rsidRDefault="00C5620B" w:rsidP="004C75D6">
      <w:pPr>
        <w:adjustRightInd w:val="0"/>
        <w:snapToGrid w:val="0"/>
        <w:jc w:val="center"/>
        <w:rPr>
          <w:rFonts w:eastAsia="Calibri" w:cs="Arial"/>
          <w:bCs/>
          <w:i/>
          <w:iCs/>
          <w:color w:val="000000"/>
          <w:szCs w:val="20"/>
        </w:rPr>
      </w:pPr>
      <w:r w:rsidRPr="004C75D6">
        <w:rPr>
          <w:rFonts w:eastAsia="Calibri" w:cs="Arial"/>
          <w:bCs/>
          <w:i/>
          <w:iCs/>
          <w:color w:val="000000"/>
          <w:szCs w:val="20"/>
        </w:rPr>
        <w:t>(Trường hợp chuyển nhượng một phần hoặc toàn bộ dự án đầu tư)</w:t>
      </w:r>
    </w:p>
    <w:p w:rsidR="00C5620B" w:rsidRPr="004C75D6" w:rsidRDefault="00C5620B" w:rsidP="004C75D6">
      <w:pPr>
        <w:adjustRightInd w:val="0"/>
        <w:snapToGrid w:val="0"/>
        <w:jc w:val="center"/>
        <w:rPr>
          <w:rFonts w:eastAsia="Calibri" w:cs="Arial"/>
          <w:bCs/>
          <w:color w:val="000000"/>
          <w:szCs w:val="20"/>
        </w:rPr>
      </w:pPr>
    </w:p>
    <w:p w:rsidR="00C5620B" w:rsidRPr="004C75D6" w:rsidRDefault="00C5620B"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chính/Tên cơ quan đăng ký đầu tư)</w:t>
      </w:r>
    </w:p>
    <w:p w:rsidR="00C5620B" w:rsidRPr="004C75D6" w:rsidRDefault="00C5620B" w:rsidP="004C75D6">
      <w:pPr>
        <w:adjustRightInd w:val="0"/>
        <w:snapToGrid w:val="0"/>
        <w:jc w:val="center"/>
        <w:rPr>
          <w:rFonts w:eastAsia="Calibri" w:cs="Arial"/>
          <w:bCs/>
          <w:color w:val="000000"/>
          <w:szCs w:val="20"/>
        </w:rPr>
      </w:pP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(Trường hợp làm thay đổi nội dung chấp thuận chủ trương): Nhà đầu tư đề nghị điều chỉnh dự án trong trường hợp chuyển nhượng một phần (</w:t>
      </w:r>
      <w:r w:rsidRPr="004C75D6">
        <w:rPr>
          <w:rFonts w:eastAsia="Calibri" w:cs="Arial"/>
          <w:bCs/>
          <w:i/>
          <w:iCs/>
          <w:color w:val="000000"/>
          <w:szCs w:val="20"/>
        </w:rPr>
        <w:t>hoặc toàn bộ</w:t>
      </w:r>
      <w:r w:rsidRPr="004C75D6">
        <w:rPr>
          <w:rFonts w:eastAsia="Calibri" w:cs="Arial"/>
          <w:bCs/>
          <w:color w:val="000000"/>
          <w:szCs w:val="20"/>
        </w:rPr>
        <w:t>) dự án đầu tư được quy định tại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 …………. </w:t>
      </w:r>
      <w:r w:rsidRPr="004C75D6">
        <w:rPr>
          <w:rFonts w:eastAsia="Calibri" w:cs="Arial"/>
          <w:bCs/>
          <w:i/>
          <w:iCs/>
          <w:color w:val="000000"/>
          <w:szCs w:val="20"/>
        </w:rPr>
        <w:t>(số, ngày cấp, cơ quan cấp) (nếu có)</w:t>
      </w:r>
      <w:r w:rsidRPr="004C75D6">
        <w:rPr>
          <w:rFonts w:eastAsia="Calibri" w:cs="Arial"/>
          <w:bCs/>
          <w:color w:val="000000"/>
          <w:szCs w:val="20"/>
        </w:rPr>
        <w:t> với các nội dung như sau:</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(Trường hợp không làm thay đổi nội dung chấp thuận chủ trương): Nhà đầu tư đề nghị chấp thuận nhà đầu tư khi nhận chuyển nhượng dự án đầu tư (không làm thay đổi nội dung chấp thuận chủ trương thuộc một trong các trường hợp quy định tại các điểm a, b, c và d khoản 3 Điều 33 của Luật Đầu tư) được quy định tại Quyết định chấp thuận chủ trương đầu tư ………. </w:t>
      </w:r>
      <w:r w:rsidRPr="004C75D6">
        <w:rPr>
          <w:rFonts w:eastAsia="Calibri" w:cs="Arial"/>
          <w:bCs/>
          <w:i/>
          <w:iCs/>
          <w:color w:val="000000"/>
          <w:szCs w:val="20"/>
        </w:rPr>
        <w:t>(số, ngày cấp, cơ quan cấp) (nếu có) </w:t>
      </w:r>
      <w:r w:rsidRPr="004C75D6">
        <w:rPr>
          <w:rFonts w:eastAsia="Calibri" w:cs="Arial"/>
          <w:bCs/>
          <w:color w:val="000000"/>
          <w:szCs w:val="20"/>
        </w:rPr>
        <w:t>với các nội dung như sau:</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 CHUYỂN NHƯỢNG DỰ ÁN</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C5620B" w:rsidRPr="004C75D6" w:rsidTr="007F3BBF">
        <w:trPr>
          <w:trHeight w:val="20"/>
        </w:trPr>
        <w:tc>
          <w:tcPr>
            <w:tcW w:w="409" w:type="pct"/>
            <w:vMerge w:val="restar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4" w:type="pct"/>
            <w:vMerge w:val="restar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C5620B" w:rsidRPr="004C75D6" w:rsidTr="007F3BBF">
        <w:trPr>
          <w:trHeight w:val="20"/>
        </w:trPr>
        <w:tc>
          <w:tcPr>
            <w:tcW w:w="409" w:type="pct"/>
            <w:vMerge/>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p>
        </w:tc>
        <w:tc>
          <w:tcPr>
            <w:tcW w:w="459"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4" w:type="pct"/>
            <w:vMerge/>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p>
        </w:tc>
      </w:tr>
      <w:tr w:rsidR="00C5620B" w:rsidRPr="004C75D6" w:rsidTr="007F3BBF">
        <w:trPr>
          <w:trHeight w:val="20"/>
        </w:trPr>
        <w:tc>
          <w:tcPr>
            <w:tcW w:w="40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174"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816"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45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42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714"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r>
      <w:tr w:rsidR="00C5620B" w:rsidRPr="004C75D6" w:rsidTr="007F3BBF">
        <w:trPr>
          <w:trHeight w:val="20"/>
        </w:trPr>
        <w:tc>
          <w:tcPr>
            <w:tcW w:w="40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174"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816"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45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42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714"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r>
    </w:tbl>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NHÀ ĐẦU TƯ NHẬN CHUYỂN NHƯỢNG</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w:t>
      </w:r>
      <w:r w:rsidRPr="004C75D6">
        <w:rPr>
          <w:rFonts w:eastAsia="Calibri" w:cs="Arial"/>
          <w:bCs/>
          <w:i/>
          <w:iCs/>
          <w:color w:val="000000"/>
          <w:szCs w:val="20"/>
        </w:rPr>
        <w:t> </w:t>
      </w:r>
      <w:r w:rsidRPr="004C75D6">
        <w:rPr>
          <w:rFonts w:eastAsia="Calibri" w:cs="Arial"/>
          <w:b/>
          <w:bCs/>
          <w:color w:val="000000"/>
          <w:szCs w:val="20"/>
        </w:rPr>
        <w:t>Đối với nhà đầu tư là cá nhân:</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r w:rsidRPr="004C75D6">
        <w:rPr>
          <w:rFonts w:eastAsia="Calibri" w:cs="Arial"/>
          <w:bCs/>
          <w:i/>
          <w:iCs/>
          <w:color w:val="000000"/>
          <w:szCs w:val="20"/>
        </w:rPr>
        <w:t>(Tài liệu về tư cách pháp lý của tổ chức)</w:t>
      </w:r>
      <w:r w:rsidRPr="004C75D6">
        <w:rPr>
          <w:rFonts w:eastAsia="Calibri" w:cs="Arial"/>
          <w:bCs/>
          <w:i/>
          <w:iCs/>
          <w:color w:val="000000"/>
          <w:szCs w:val="20"/>
          <w:vertAlign w:val="superscript"/>
        </w:rPr>
        <w:t>2</w:t>
      </w:r>
      <w:r w:rsidRPr="004C75D6">
        <w:rPr>
          <w:rFonts w:eastAsia="Calibri" w:cs="Arial"/>
          <w:bCs/>
          <w:color w:val="000000"/>
          <w:szCs w:val="20"/>
        </w:rPr>
        <w:t> số: …………………; ngày cấp: …………………; Cơ quan cấp: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NỘI DUNG DỰ ÁN ĐẦU TƯ</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Các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 đã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6"/>
      </w:tblGrid>
      <w:tr w:rsidR="00C5620B" w:rsidRPr="004C75D6" w:rsidTr="007F3BBF">
        <w:trPr>
          <w:trHeight w:val="20"/>
        </w:trPr>
        <w:tc>
          <w:tcPr>
            <w:tcW w:w="360"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619"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giấy</w:t>
            </w:r>
          </w:p>
        </w:tc>
        <w:tc>
          <w:tcPr>
            <w:tcW w:w="1237"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giấy/Mã số dự án</w:t>
            </w:r>
          </w:p>
        </w:tc>
        <w:tc>
          <w:tcPr>
            <w:tcW w:w="619"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Ngày cấp</w:t>
            </w:r>
          </w:p>
        </w:tc>
        <w:tc>
          <w:tcPr>
            <w:tcW w:w="825"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Cơ quan cấp</w:t>
            </w:r>
          </w:p>
        </w:tc>
        <w:tc>
          <w:tcPr>
            <w:tcW w:w="1340" w:type="pct"/>
            <w:vAlign w:val="center"/>
            <w:hideMark/>
          </w:tcPr>
          <w:p w:rsidR="00C5620B" w:rsidRPr="004C75D6" w:rsidRDefault="00C5620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Ghi chú</w:t>
            </w:r>
            <w:r w:rsidRPr="004C75D6">
              <w:rPr>
                <w:rFonts w:eastAsia="Calibri" w:cs="Arial"/>
                <w:b/>
                <w:bCs/>
                <w:color w:val="000000"/>
                <w:szCs w:val="20"/>
              </w:rPr>
              <w:br/>
            </w:r>
            <w:r w:rsidRPr="004C75D6">
              <w:rPr>
                <w:rFonts w:eastAsia="Calibri" w:cs="Arial"/>
                <w:bCs/>
                <w:i/>
                <w:iCs/>
                <w:color w:val="000000"/>
                <w:szCs w:val="20"/>
              </w:rPr>
              <w:t>(Còn hoặc hết hiệu lực)</w:t>
            </w:r>
          </w:p>
        </w:tc>
      </w:tr>
      <w:tr w:rsidR="00C5620B" w:rsidRPr="004C75D6" w:rsidTr="007F3BBF">
        <w:trPr>
          <w:trHeight w:val="20"/>
        </w:trPr>
        <w:tc>
          <w:tcPr>
            <w:tcW w:w="360"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61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237"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61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825"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340"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r>
      <w:tr w:rsidR="00C5620B" w:rsidRPr="004C75D6" w:rsidTr="007F3BBF">
        <w:trPr>
          <w:trHeight w:val="20"/>
        </w:trPr>
        <w:tc>
          <w:tcPr>
            <w:tcW w:w="360"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61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237"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619"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825"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c>
          <w:tcPr>
            <w:tcW w:w="1340" w:type="pct"/>
            <w:vAlign w:val="center"/>
          </w:tcPr>
          <w:p w:rsidR="00C5620B" w:rsidRPr="004C75D6" w:rsidRDefault="00C5620B" w:rsidP="004C75D6">
            <w:pPr>
              <w:adjustRightInd w:val="0"/>
              <w:snapToGrid w:val="0"/>
              <w:spacing w:before="80" w:after="80"/>
              <w:jc w:val="center"/>
              <w:rPr>
                <w:rFonts w:eastAsia="Calibri" w:cs="Arial"/>
                <w:bCs/>
                <w:color w:val="000000"/>
                <w:szCs w:val="20"/>
              </w:rPr>
            </w:pPr>
          </w:p>
        </w:tc>
      </w:tr>
    </w:tbl>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Nội dung dự án đầu tư:</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Tên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Mục tiêu: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Tổng vốn đầu tư: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Quy mô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thực hiện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Địa điểm thực hiện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Thời hạn hoạt động của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DỰ ÁN CHUYỂN NHƯỢNG</w:t>
      </w:r>
      <w:r w:rsidRPr="004C75D6">
        <w:rPr>
          <w:rFonts w:eastAsia="Calibri" w:cs="Arial"/>
          <w:bCs/>
          <w:color w:val="000000"/>
          <w:szCs w:val="20"/>
        </w:rPr>
        <w:t> </w:t>
      </w:r>
      <w:r w:rsidRPr="004C75D6">
        <w:rPr>
          <w:rFonts w:eastAsia="Calibri" w:cs="Arial"/>
          <w:bCs/>
          <w:i/>
          <w:iCs/>
          <w:color w:val="000000"/>
          <w:szCs w:val="20"/>
        </w:rPr>
        <w:t>(đối với trường hợp chuyển nhượng một phần dự án)</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Nội dung phần dự án đầu tư dự kiến chuyển nhượng</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Tên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Mục tiêu: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Tổng vốn đầu tư: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Quy mô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Địa điểm thực hiện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Thời hạn hoạt động của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Hiện trạng đang thực hiện: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Diện tích đất thực hiện phần dự án dự kiến chuyển nhượng: ………………………. m</w:t>
      </w:r>
      <w:r w:rsidRPr="004C75D6">
        <w:rPr>
          <w:rFonts w:eastAsia="Calibri" w:cs="Arial"/>
          <w:bCs/>
          <w:color w:val="000000"/>
          <w:szCs w:val="20"/>
          <w:vertAlign w:val="superscript"/>
        </w:rPr>
        <w:t>2</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Giá trị chuyển nhượng dự kiến: …… đồng (bằng chữ: ………………..), tương đương: …… USD.</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Phương thức và tiến độ thanh toán dự kiến: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w:t>
      </w:r>
      <w:r w:rsidRPr="004C75D6">
        <w:rPr>
          <w:rFonts w:eastAsia="Calibri" w:cs="Arial"/>
          <w:b/>
          <w:bCs/>
          <w:i/>
          <w:iCs/>
          <w:color w:val="000000"/>
          <w:szCs w:val="20"/>
        </w:rPr>
        <w:t>Nội dung phần dự án đầu tư còn lại dự kiến không chuyển nhượng:</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Tên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Mục tiêu: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Tổng vốn đầu tư: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Quy mô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Địa điểm thực hiện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Thời hạn dự án: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Hiện trạng đang thực hiện: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Diện tích đất thực hiện phần dự án dự kiến không chuyển nhượng: …………….. m</w:t>
      </w:r>
      <w:r w:rsidRPr="004C75D6">
        <w:rPr>
          <w:rFonts w:eastAsia="Calibri" w:cs="Arial"/>
          <w:bCs/>
          <w:color w:val="000000"/>
          <w:szCs w:val="20"/>
          <w:vertAlign w:val="superscript"/>
        </w:rPr>
        <w:t>2</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GIẢI TRÌNH VỀ VIỆC CHUYỂN NHƯỢNG</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Lý do, cơ sở đề nghị chuyển nhượng: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w:t>
      </w:r>
      <w:r w:rsidRPr="004C75D6">
        <w:rPr>
          <w:rFonts w:eastAsia="Calibri" w:cs="Arial"/>
          <w:b/>
          <w:bCs/>
          <w:color w:val="000000"/>
          <w:szCs w:val="20"/>
        </w:rPr>
        <w:t> </w:t>
      </w:r>
      <w:r w:rsidRPr="004C75D6">
        <w:rPr>
          <w:rFonts w:eastAsia="Calibri" w:cs="Arial"/>
          <w:bCs/>
          <w:color w:val="000000"/>
          <w:szCs w:val="20"/>
        </w:rPr>
        <w:t>Giải trình về việc đáp ứng các điều kiện chuyển nhượng dự án đầu tư: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(Theo quy định của pháp luật về đầu tư, đất đai, nhà ở, kinh doanh bất động sản và quy định khác của pháp luật có liên quan (nếu có))</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 CÁC NỘI DUNG ĐIỀU CHỈNH KHÁC </w:t>
      </w:r>
      <w:r w:rsidRPr="004C75D6">
        <w:rPr>
          <w:rFonts w:eastAsia="Calibri" w:cs="Arial"/>
          <w:bCs/>
          <w:i/>
          <w:iCs/>
          <w:color w:val="000000"/>
          <w:szCs w:val="20"/>
        </w:rPr>
        <w:t>(nếu có)</w:t>
      </w:r>
      <w:r w:rsidRPr="004C75D6">
        <w:rPr>
          <w:rFonts w:eastAsia="Calibri" w:cs="Arial"/>
          <w:bCs/>
          <w:color w:val="000000"/>
          <w:szCs w:val="20"/>
        </w:rPr>
        <w:t>:</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kê khai theo mẫu hướng dẫn tại Biểu I.1.8 Phụ lục này.</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VII. CÁC NHÀ ĐẦU TƯ CAM KẾT</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các quy định của Quyết định chấp thuận chủ trương đầu tư/Giấy chứng nhận đăng ký đầu tư.</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Cam kết chịu mọi chi phí, rủi ro nếu việc chuyển nhượng dự án không được chấp thuận.</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VIII. HỒ SƠ KÈM THEO</w:t>
      </w:r>
    </w:p>
    <w:p w:rsidR="00C5620B" w:rsidRPr="004C75D6" w:rsidRDefault="00C5620B" w:rsidP="007344F2">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C5620B" w:rsidRPr="004C75D6" w:rsidRDefault="00C5620B" w:rsidP="007344F2">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5620B" w:rsidRPr="004C75D6" w:rsidTr="007F3BBF">
        <w:trPr>
          <w:tblCellSpacing w:w="0" w:type="dxa"/>
        </w:trPr>
        <w:tc>
          <w:tcPr>
            <w:tcW w:w="2500" w:type="pct"/>
            <w:shd w:val="clear" w:color="auto" w:fill="FFFFFF"/>
            <w:hideMark/>
          </w:tcPr>
          <w:p w:rsidR="00C5620B" w:rsidRPr="004C75D6" w:rsidRDefault="00C5620B" w:rsidP="007344F2">
            <w:pPr>
              <w:adjustRightInd w:val="0"/>
              <w:snapToGrid w:val="0"/>
              <w:jc w:val="center"/>
              <w:rPr>
                <w:rFonts w:eastAsia="Calibri" w:cs="Arial"/>
                <w:bCs/>
                <w:color w:val="000000"/>
                <w:szCs w:val="20"/>
              </w:rPr>
            </w:pPr>
            <w:r w:rsidRPr="004C75D6">
              <w:rPr>
                <w:rFonts w:eastAsia="Calibri" w:cs="Arial"/>
                <w:b/>
                <w:bCs/>
                <w:color w:val="000000"/>
                <w:szCs w:val="20"/>
              </w:rPr>
              <w:br/>
              <w:t>Nhà đầu tư/Tổ chức kinh tế nhận chuyển nhượng</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 ghi rõ họ tên, chức danh và đóng dấu (nếu có))</w:t>
            </w:r>
          </w:p>
        </w:tc>
        <w:tc>
          <w:tcPr>
            <w:tcW w:w="2500" w:type="pct"/>
            <w:shd w:val="clear" w:color="auto" w:fill="FFFFFF"/>
            <w:hideMark/>
          </w:tcPr>
          <w:p w:rsidR="00C5620B" w:rsidRPr="004C75D6" w:rsidRDefault="00C5620B" w:rsidP="007344F2">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 đầu tư chuyển nhượng</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 ghi rõ họ tên, chức danh và đóng dấu (nếu có))</w:t>
            </w:r>
          </w:p>
        </w:tc>
      </w:tr>
    </w:tbl>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2</w:t>
      </w:r>
      <w:r w:rsidRPr="004C75D6">
        <w:rPr>
          <w:rFonts w:eastAsia="Calibri" w:cs="Arial"/>
          <w:bCs/>
          <w:color w:val="000000"/>
          <w:szCs w:val="20"/>
        </w:rPr>
        <w:t> Tài liệu về tư cách pháp lý của tổ chức: Là một trong các loại giấy tờ sau: Quyết định thành lập, Giấy chứng nhận đăng ký doanh nghiệp, tài liệu tương đương khác. </w:t>
      </w:r>
    </w:p>
    <w:p w:rsidR="00C5620B" w:rsidRPr="004C75D6" w:rsidRDefault="00C5620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0B"/>
    <w:rsid w:val="000737B1"/>
    <w:rsid w:val="00371B12"/>
    <w:rsid w:val="003E6ED8"/>
    <w:rsid w:val="00422C7B"/>
    <w:rsid w:val="00456E27"/>
    <w:rsid w:val="005E3494"/>
    <w:rsid w:val="006C5A10"/>
    <w:rsid w:val="008B3F3C"/>
    <w:rsid w:val="009C53AF"/>
    <w:rsid w:val="00C5620B"/>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186FF-EB80-47E0-A944-43C37D5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2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2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62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562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2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2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2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2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2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2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2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2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2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2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2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20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5620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562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2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620B"/>
    <w:rPr>
      <w:i/>
      <w:iCs/>
      <w:color w:val="404040" w:themeColor="text1" w:themeTint="BF"/>
    </w:rPr>
  </w:style>
  <w:style w:type="paragraph" w:styleId="ListParagraph">
    <w:name w:val="List Paragraph"/>
    <w:basedOn w:val="Normal"/>
    <w:uiPriority w:val="34"/>
    <w:qFormat/>
    <w:rsid w:val="00C5620B"/>
    <w:pPr>
      <w:ind w:left="720"/>
      <w:contextualSpacing/>
    </w:pPr>
  </w:style>
  <w:style w:type="character" w:styleId="IntenseEmphasis">
    <w:name w:val="Intense Emphasis"/>
    <w:basedOn w:val="DefaultParagraphFont"/>
    <w:uiPriority w:val="21"/>
    <w:qFormat/>
    <w:rsid w:val="00C5620B"/>
    <w:rPr>
      <w:i/>
      <w:iCs/>
      <w:color w:val="2F5496" w:themeColor="accent1" w:themeShade="BF"/>
    </w:rPr>
  </w:style>
  <w:style w:type="paragraph" w:styleId="IntenseQuote">
    <w:name w:val="Intense Quote"/>
    <w:basedOn w:val="Normal"/>
    <w:next w:val="Normal"/>
    <w:link w:val="IntenseQuoteChar"/>
    <w:uiPriority w:val="30"/>
    <w:qFormat/>
    <w:rsid w:val="00C56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20B"/>
    <w:rPr>
      <w:i/>
      <w:iCs/>
      <w:color w:val="2F5496" w:themeColor="accent1" w:themeShade="BF"/>
    </w:rPr>
  </w:style>
  <w:style w:type="character" w:styleId="IntenseReference">
    <w:name w:val="Intense Reference"/>
    <w:basedOn w:val="DefaultParagraphFont"/>
    <w:uiPriority w:val="32"/>
    <w:qFormat/>
    <w:rsid w:val="00C56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