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DFD" w:rsidRPr="004C75D6" w:rsidRDefault="00AC2DFD" w:rsidP="004C75D6">
      <w:pPr>
        <w:adjustRightInd w:val="0"/>
        <w:snapToGrid w:val="0"/>
        <w:jc w:val="center"/>
        <w:rPr>
          <w:rFonts w:eastAsia="Calibri" w:cs="Arial"/>
          <w:bCs/>
          <w:color w:val="000000"/>
          <w:szCs w:val="20"/>
        </w:rPr>
      </w:pPr>
      <w:r w:rsidRPr="004C75D6">
        <w:rPr>
          <w:rFonts w:eastAsia="Calibri" w:cs="Arial"/>
          <w:b/>
          <w:bCs/>
          <w:color w:val="000000"/>
          <w:szCs w:val="20"/>
        </w:rPr>
        <w:t>Mẫu I.1.5</w:t>
      </w:r>
    </w:p>
    <w:p w:rsidR="00AC2DFD" w:rsidRPr="004C75D6" w:rsidRDefault="00AC2DFD"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cấp Giấy chứng nhận đăng ký đầu tư</w:t>
      </w:r>
    </w:p>
    <w:p w:rsidR="00AC2DFD" w:rsidRPr="004C75D6" w:rsidRDefault="00AC2DFD" w:rsidP="004C75D6">
      <w:pPr>
        <w:adjustRightInd w:val="0"/>
        <w:snapToGrid w:val="0"/>
        <w:jc w:val="center"/>
        <w:rPr>
          <w:rFonts w:eastAsia="Calibri" w:cs="Arial"/>
          <w:bCs/>
          <w:color w:val="000000"/>
          <w:szCs w:val="20"/>
        </w:rPr>
      </w:pPr>
      <w:r w:rsidRPr="004C75D6">
        <w:rPr>
          <w:rFonts w:eastAsia="Calibri" w:cs="Arial"/>
          <w:bCs/>
          <w:i/>
          <w:iCs/>
          <w:color w:val="000000"/>
          <w:szCs w:val="20"/>
        </w:rPr>
        <w:t xml:space="preserve">Khoản 2 Điều 38 Nghị định số 96/2026/NĐ-CP (Dự án đầu tư đã được chấp thuận chủ </w:t>
      </w:r>
      <w:r w:rsidRPr="004C75D6">
        <w:rPr>
          <w:rFonts w:eastAsia="Calibri" w:cs="Arial"/>
          <w:bCs/>
          <w:i/>
          <w:iCs/>
          <w:color w:val="000000"/>
          <w:szCs w:val="20"/>
        </w:rPr>
        <w:br/>
        <w:t xml:space="preserve">trương đầu tư và nhà đầu tư đã trúng đấu giá, trúng thầu; dự án đầu tư thuộc diện </w:t>
      </w:r>
      <w:r w:rsidRPr="004C75D6">
        <w:rPr>
          <w:rFonts w:eastAsia="Calibri" w:cs="Arial"/>
          <w:bCs/>
          <w:i/>
          <w:iCs/>
          <w:color w:val="000000"/>
          <w:szCs w:val="20"/>
        </w:rPr>
        <w:br/>
        <w:t xml:space="preserve">chấp thuận nhà đầu tư theo quy định tại khoản 3 Điều 23 Luật Đầu tư và thuộc diện </w:t>
      </w:r>
      <w:r w:rsidRPr="004C75D6">
        <w:rPr>
          <w:rFonts w:eastAsia="Calibri" w:cs="Arial"/>
          <w:bCs/>
          <w:i/>
          <w:iCs/>
          <w:color w:val="000000"/>
          <w:szCs w:val="20"/>
        </w:rPr>
        <w:br/>
        <w:t>cấp Giấy chứng nhận đăng ký đầu tư)</w:t>
      </w:r>
    </w:p>
    <w:p w:rsidR="00AC2DFD" w:rsidRPr="004C75D6" w:rsidRDefault="00AC2DFD" w:rsidP="004C75D6">
      <w:pPr>
        <w:adjustRightInd w:val="0"/>
        <w:snapToGrid w:val="0"/>
        <w:spacing w:after="120"/>
        <w:jc w:val="both"/>
        <w:rPr>
          <w:rFonts w:eastAsia="Calibri" w:cs="Arial"/>
          <w:bCs/>
          <w:color w:val="000000"/>
          <w:szCs w:val="20"/>
        </w:rPr>
      </w:pPr>
      <w:r w:rsidRPr="004C75D6">
        <w:rPr>
          <w:rFonts w:eastAsia="Calibri" w:cs="Arial"/>
          <w:bCs/>
          <w:color w:val="000000"/>
          <w:szCs w:val="20"/>
        </w:rPr>
        <w:t>_________________________________________________________________________________</w:t>
      </w:r>
    </w:p>
    <w:p w:rsidR="00AC2DFD" w:rsidRPr="004C75D6" w:rsidRDefault="00AC2DFD" w:rsidP="004C75D6">
      <w:pPr>
        <w:adjustRightInd w:val="0"/>
        <w:snapToGrid w:val="0"/>
        <w:jc w:val="center"/>
        <w:rPr>
          <w:rFonts w:eastAsia="Calibri" w:cs="Arial"/>
          <w:bCs/>
          <w:color w:val="000000"/>
          <w:szCs w:val="20"/>
        </w:rPr>
      </w:pPr>
      <w:r w:rsidRPr="004C75D6">
        <w:rPr>
          <w:rFonts w:eastAsia="Calibri" w:cs="Arial"/>
          <w:b/>
          <w:bCs/>
          <w:color w:val="000000"/>
          <w:szCs w:val="20"/>
        </w:rPr>
        <w:t>CỘNG HOÀ XÃ HỘI CHỦ NGHĨA VIỆT NAM</w:t>
      </w:r>
      <w:r w:rsidRPr="004C75D6">
        <w:rPr>
          <w:rFonts w:eastAsia="Calibri" w:cs="Arial"/>
          <w:bCs/>
          <w:color w:val="000000"/>
          <w:szCs w:val="20"/>
        </w:rPr>
        <w:br/>
      </w:r>
      <w:r w:rsidRPr="004C75D6">
        <w:rPr>
          <w:rFonts w:eastAsia="Calibri" w:cs="Arial"/>
          <w:b/>
          <w:bCs/>
          <w:color w:val="000000"/>
          <w:szCs w:val="20"/>
        </w:rPr>
        <w:t>Độc lập - Tự do - Hạnh phúc</w:t>
      </w:r>
      <w:r w:rsidRPr="004C75D6">
        <w:rPr>
          <w:rFonts w:eastAsia="Calibri" w:cs="Arial"/>
          <w:b/>
          <w:bCs/>
          <w:color w:val="000000"/>
          <w:szCs w:val="20"/>
        </w:rPr>
        <w:br/>
      </w:r>
      <w:r w:rsidRPr="004C75D6">
        <w:rPr>
          <w:rFonts w:eastAsia="Calibri" w:cs="Arial"/>
          <w:color w:val="000000"/>
          <w:szCs w:val="20"/>
          <w:vertAlign w:val="superscript"/>
        </w:rPr>
        <w:t>_______________________</w:t>
      </w:r>
    </w:p>
    <w:p w:rsidR="00AC2DFD" w:rsidRPr="004C75D6" w:rsidRDefault="00AC2DFD" w:rsidP="004C75D6">
      <w:pPr>
        <w:adjustRightInd w:val="0"/>
        <w:snapToGrid w:val="0"/>
        <w:jc w:val="center"/>
        <w:rPr>
          <w:rFonts w:eastAsia="Calibri" w:cs="Arial"/>
          <w:b/>
          <w:bCs/>
          <w:color w:val="000000"/>
          <w:szCs w:val="20"/>
        </w:rPr>
      </w:pPr>
    </w:p>
    <w:p w:rsidR="00AC2DFD" w:rsidRPr="004C75D6" w:rsidRDefault="00AC2DFD" w:rsidP="004C75D6">
      <w:pPr>
        <w:adjustRightInd w:val="0"/>
        <w:snapToGrid w:val="0"/>
        <w:jc w:val="center"/>
        <w:rPr>
          <w:rFonts w:eastAsia="Calibri" w:cs="Arial"/>
          <w:b/>
          <w:bCs/>
          <w:color w:val="000000"/>
          <w:szCs w:val="20"/>
        </w:rPr>
      </w:pPr>
      <w:r w:rsidRPr="004C75D6">
        <w:rPr>
          <w:rFonts w:eastAsia="Calibri" w:cs="Arial"/>
          <w:b/>
          <w:bCs/>
          <w:color w:val="000000"/>
          <w:szCs w:val="20"/>
        </w:rPr>
        <w:t>VĂN BẢN ĐỀ NGHỊ CẤP GIẤY CHỨNG NHẬN ĐĂNG KÝ ĐẦU TƯ</w:t>
      </w:r>
    </w:p>
    <w:p w:rsidR="00AC2DFD" w:rsidRPr="004C75D6" w:rsidRDefault="00AC2DFD" w:rsidP="004C75D6">
      <w:pPr>
        <w:adjustRightInd w:val="0"/>
        <w:snapToGrid w:val="0"/>
        <w:jc w:val="center"/>
        <w:rPr>
          <w:rFonts w:eastAsia="Calibri" w:cs="Arial"/>
          <w:bCs/>
          <w:color w:val="000000"/>
          <w:szCs w:val="20"/>
        </w:rPr>
      </w:pPr>
    </w:p>
    <w:p w:rsidR="00AC2DFD" w:rsidRPr="004C75D6" w:rsidRDefault="00AC2DFD" w:rsidP="004C75D6">
      <w:pPr>
        <w:adjustRightInd w:val="0"/>
        <w:snapToGrid w:val="0"/>
        <w:jc w:val="center"/>
        <w:rPr>
          <w:rFonts w:eastAsia="Calibri" w:cs="Arial"/>
          <w:bCs/>
          <w:i/>
          <w:iCs/>
          <w:color w:val="000000"/>
          <w:szCs w:val="20"/>
        </w:rPr>
      </w:pPr>
      <w:r w:rsidRPr="004C75D6">
        <w:rPr>
          <w:rFonts w:eastAsia="Calibri" w:cs="Arial"/>
          <w:bCs/>
          <w:color w:val="000000"/>
          <w:szCs w:val="20"/>
        </w:rPr>
        <w:t>Kính gửi: ……………… </w:t>
      </w:r>
      <w:r w:rsidRPr="004C75D6">
        <w:rPr>
          <w:rFonts w:eastAsia="Calibri" w:cs="Arial"/>
          <w:bCs/>
          <w:i/>
          <w:iCs/>
          <w:color w:val="000000"/>
          <w:szCs w:val="20"/>
        </w:rPr>
        <w:t>(Tên cơ quan đăng ký đầu tư)</w:t>
      </w:r>
    </w:p>
    <w:p w:rsidR="00AC2DFD" w:rsidRPr="004C75D6" w:rsidRDefault="00AC2DFD" w:rsidP="004C75D6">
      <w:pPr>
        <w:adjustRightInd w:val="0"/>
        <w:snapToGrid w:val="0"/>
        <w:jc w:val="center"/>
        <w:rPr>
          <w:rFonts w:eastAsia="Calibri" w:cs="Arial"/>
          <w:bCs/>
          <w:color w:val="000000"/>
          <w:szCs w:val="20"/>
        </w:rPr>
      </w:pP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Nhà đầu tư có dự án được chấp thuận chủ trương đầu tư tại Quyết định số ………… của ………… và/hoặc đã trúng đấu giá, trúng thầu tại Quyết định phê duyệt kết quả trúng đấu giá hoặc Quyết định phê duyệt kết quả lựa chọn nhà đầu tư số ………… của …………./ Nhà đầu tư được chấp thuận theo Quyết định chấp thuận nhà đầu tư số ………… của …………, nay đề nghị cấp Giấy chứng nhận đăng ký đầu tư với các nội dung sau:</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 THÔNG TIN VỀ NHÀ ĐẦU TƯ</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Đối với nhà đầu tư là cá nhân</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w:t>
      </w:r>
      <w:r w:rsidRPr="004C75D6">
        <w:rPr>
          <w:rFonts w:eastAsia="Calibri" w:cs="Arial"/>
          <w:bCs/>
          <w:color w:val="000000"/>
          <w:szCs w:val="20"/>
          <w:vertAlign w:val="superscript"/>
        </w:rPr>
        <w:t>1</w:t>
      </w:r>
      <w:r w:rsidRPr="004C75D6">
        <w:rPr>
          <w:rFonts w:eastAsia="Calibri" w:cs="Arial"/>
          <w:bCs/>
          <w:color w:val="000000"/>
          <w:szCs w:val="20"/>
        </w:rPr>
        <w:t>: .....................................................................................................</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Đối với nhà đầu tư là doanh nghiệp/tổ chức</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doanh nghiệp/tổ chức:....................................................................................................</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Loại hình tổ chức kinh tế: .....................................................................................................</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trụ sở:...........................................................................................................................</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thuế: ............................................................................................................................</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 Website </w:t>
      </w:r>
      <w:r w:rsidRPr="004C75D6">
        <w:rPr>
          <w:rFonts w:eastAsia="Calibri" w:cs="Arial"/>
          <w:bCs/>
          <w:i/>
          <w:iCs/>
          <w:color w:val="000000"/>
          <w:szCs w:val="20"/>
        </w:rPr>
        <w:t>(nếu có)</w:t>
      </w:r>
      <w:r w:rsidRPr="004C75D6">
        <w:rPr>
          <w:rFonts w:eastAsia="Calibri" w:cs="Arial"/>
          <w:bCs/>
          <w:color w:val="000000"/>
          <w:szCs w:val="20"/>
        </w:rPr>
        <w:t>: ………………….</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Vốn điều lệ: ………</w:t>
      </w:r>
      <w:r w:rsidRPr="004C75D6">
        <w:rPr>
          <w:rFonts w:eastAsia="Calibri" w:cs="Arial"/>
          <w:bCs/>
          <w:i/>
          <w:iCs/>
          <w:color w:val="000000"/>
          <w:szCs w:val="20"/>
        </w:rPr>
        <w:t> (bằng chữ) </w:t>
      </w:r>
      <w:r w:rsidRPr="004C75D6">
        <w:rPr>
          <w:rFonts w:eastAsia="Calibri" w:cs="Arial"/>
          <w:bCs/>
          <w:color w:val="000000"/>
          <w:szCs w:val="20"/>
        </w:rPr>
        <w:t>đồng và tương đương …… </w:t>
      </w:r>
      <w:r w:rsidRPr="004C75D6">
        <w:rPr>
          <w:rFonts w:eastAsia="Calibri" w:cs="Arial"/>
          <w:bCs/>
          <w:i/>
          <w:iCs/>
          <w:color w:val="000000"/>
          <w:szCs w:val="20"/>
        </w:rPr>
        <w:t>(bằng chữ)</w:t>
      </w:r>
      <w:r w:rsidRPr="004C75D6">
        <w:rPr>
          <w:rFonts w:eastAsia="Calibri" w:cs="Arial"/>
          <w:bCs/>
          <w:color w:val="000000"/>
          <w:szCs w:val="20"/>
        </w:rPr>
        <w:t> đô la Mỹ </w:t>
      </w:r>
      <w:r w:rsidRPr="004C75D6">
        <w:rPr>
          <w:rFonts w:eastAsia="Calibri" w:cs="Arial"/>
          <w:bCs/>
          <w:i/>
          <w:iCs/>
          <w:color w:val="000000"/>
          <w:szCs w:val="20"/>
        </w:rPr>
        <w:t>(tỷ giá …… ngày …… của ……).</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1"/>
        <w:gridCol w:w="828"/>
        <w:gridCol w:w="2577"/>
        <w:gridCol w:w="1286"/>
      </w:tblGrid>
      <w:tr w:rsidR="00AC2DFD" w:rsidRPr="004C75D6" w:rsidTr="007F3BBF">
        <w:trPr>
          <w:trHeight w:val="20"/>
        </w:trPr>
        <w:tc>
          <w:tcPr>
            <w:tcW w:w="409" w:type="pct"/>
            <w:vMerge w:val="restart"/>
            <w:vAlign w:val="center"/>
            <w:hideMark/>
          </w:tcPr>
          <w:p w:rsidR="00AC2DFD" w:rsidRPr="004C75D6" w:rsidRDefault="00AC2DFD"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1174" w:type="pct"/>
            <w:vMerge w:val="restart"/>
            <w:vAlign w:val="center"/>
            <w:hideMark/>
          </w:tcPr>
          <w:p w:rsidR="00AC2DFD" w:rsidRPr="004C75D6" w:rsidRDefault="00AC2DFD"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Tên nhà đầu tư</w:t>
            </w:r>
          </w:p>
        </w:tc>
        <w:tc>
          <w:tcPr>
            <w:tcW w:w="816" w:type="pct"/>
            <w:vMerge w:val="restart"/>
            <w:vAlign w:val="center"/>
            <w:hideMark/>
          </w:tcPr>
          <w:p w:rsidR="00AC2DFD" w:rsidRPr="004C75D6" w:rsidRDefault="00AC2DFD"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Quốc tịch</w:t>
            </w:r>
          </w:p>
        </w:tc>
        <w:tc>
          <w:tcPr>
            <w:tcW w:w="1888" w:type="pct"/>
            <w:gridSpan w:val="2"/>
            <w:vAlign w:val="center"/>
            <w:hideMark/>
          </w:tcPr>
          <w:p w:rsidR="00AC2DFD" w:rsidRPr="004C75D6" w:rsidRDefault="00AC2DFD"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Số vốn góp</w:t>
            </w:r>
          </w:p>
        </w:tc>
        <w:tc>
          <w:tcPr>
            <w:tcW w:w="713" w:type="pct"/>
            <w:vMerge w:val="restart"/>
            <w:vAlign w:val="center"/>
            <w:hideMark/>
          </w:tcPr>
          <w:p w:rsidR="00AC2DFD" w:rsidRPr="004C75D6" w:rsidRDefault="00AC2DFD"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Tỷ lệ (%)</w:t>
            </w:r>
          </w:p>
        </w:tc>
      </w:tr>
      <w:tr w:rsidR="00AC2DFD" w:rsidRPr="004C75D6" w:rsidTr="007F3BBF">
        <w:trPr>
          <w:trHeight w:val="20"/>
        </w:trPr>
        <w:tc>
          <w:tcPr>
            <w:tcW w:w="409" w:type="pct"/>
            <w:vMerge/>
            <w:vAlign w:val="center"/>
            <w:hideMark/>
          </w:tcPr>
          <w:p w:rsidR="00AC2DFD" w:rsidRPr="004C75D6" w:rsidRDefault="00AC2DFD" w:rsidP="004C75D6">
            <w:pPr>
              <w:adjustRightInd w:val="0"/>
              <w:snapToGrid w:val="0"/>
              <w:spacing w:before="80" w:after="80"/>
              <w:jc w:val="center"/>
              <w:rPr>
                <w:rFonts w:eastAsia="Calibri" w:cs="Arial"/>
                <w:bCs/>
                <w:color w:val="000000"/>
                <w:szCs w:val="20"/>
              </w:rPr>
            </w:pPr>
          </w:p>
        </w:tc>
        <w:tc>
          <w:tcPr>
            <w:tcW w:w="1174" w:type="pct"/>
            <w:vMerge/>
            <w:vAlign w:val="center"/>
            <w:hideMark/>
          </w:tcPr>
          <w:p w:rsidR="00AC2DFD" w:rsidRPr="004C75D6" w:rsidRDefault="00AC2DFD" w:rsidP="004C75D6">
            <w:pPr>
              <w:adjustRightInd w:val="0"/>
              <w:snapToGrid w:val="0"/>
              <w:spacing w:before="80" w:after="80"/>
              <w:jc w:val="center"/>
              <w:rPr>
                <w:rFonts w:eastAsia="Calibri" w:cs="Arial"/>
                <w:bCs/>
                <w:color w:val="000000"/>
                <w:szCs w:val="20"/>
              </w:rPr>
            </w:pPr>
          </w:p>
        </w:tc>
        <w:tc>
          <w:tcPr>
            <w:tcW w:w="816" w:type="pct"/>
            <w:vMerge/>
            <w:vAlign w:val="center"/>
            <w:hideMark/>
          </w:tcPr>
          <w:p w:rsidR="00AC2DFD" w:rsidRPr="004C75D6" w:rsidRDefault="00AC2DFD" w:rsidP="004C75D6">
            <w:pPr>
              <w:adjustRightInd w:val="0"/>
              <w:snapToGrid w:val="0"/>
              <w:spacing w:before="80" w:after="80"/>
              <w:jc w:val="center"/>
              <w:rPr>
                <w:rFonts w:eastAsia="Calibri" w:cs="Arial"/>
                <w:bCs/>
                <w:color w:val="000000"/>
                <w:szCs w:val="20"/>
              </w:rPr>
            </w:pPr>
          </w:p>
        </w:tc>
        <w:tc>
          <w:tcPr>
            <w:tcW w:w="459" w:type="pct"/>
            <w:vAlign w:val="center"/>
            <w:hideMark/>
          </w:tcPr>
          <w:p w:rsidR="00AC2DFD" w:rsidRPr="004C75D6" w:rsidRDefault="00AC2DFD"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VNĐ</w:t>
            </w:r>
          </w:p>
        </w:tc>
        <w:tc>
          <w:tcPr>
            <w:tcW w:w="1429" w:type="pct"/>
            <w:vAlign w:val="center"/>
            <w:hideMark/>
          </w:tcPr>
          <w:p w:rsidR="00AC2DFD" w:rsidRPr="004C75D6" w:rsidRDefault="00AC2DFD"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Tương đương USD</w:t>
            </w:r>
          </w:p>
        </w:tc>
        <w:tc>
          <w:tcPr>
            <w:tcW w:w="713" w:type="pct"/>
            <w:vMerge/>
            <w:vAlign w:val="center"/>
            <w:hideMark/>
          </w:tcPr>
          <w:p w:rsidR="00AC2DFD" w:rsidRPr="004C75D6" w:rsidRDefault="00AC2DFD" w:rsidP="004C75D6">
            <w:pPr>
              <w:adjustRightInd w:val="0"/>
              <w:snapToGrid w:val="0"/>
              <w:spacing w:before="80" w:after="80"/>
              <w:jc w:val="center"/>
              <w:rPr>
                <w:rFonts w:eastAsia="Calibri" w:cs="Arial"/>
                <w:bCs/>
                <w:color w:val="000000"/>
                <w:szCs w:val="20"/>
              </w:rPr>
            </w:pPr>
          </w:p>
        </w:tc>
      </w:tr>
      <w:tr w:rsidR="00AC2DFD" w:rsidRPr="004C75D6" w:rsidTr="007F3BBF">
        <w:trPr>
          <w:trHeight w:val="20"/>
        </w:trPr>
        <w:tc>
          <w:tcPr>
            <w:tcW w:w="409" w:type="pct"/>
            <w:vAlign w:val="center"/>
          </w:tcPr>
          <w:p w:rsidR="00AC2DFD" w:rsidRPr="004C75D6" w:rsidRDefault="00AC2DFD" w:rsidP="004C75D6">
            <w:pPr>
              <w:adjustRightInd w:val="0"/>
              <w:snapToGrid w:val="0"/>
              <w:spacing w:before="80" w:after="80"/>
              <w:jc w:val="center"/>
              <w:rPr>
                <w:rFonts w:eastAsia="Calibri" w:cs="Arial"/>
                <w:bCs/>
                <w:color w:val="000000"/>
                <w:szCs w:val="20"/>
              </w:rPr>
            </w:pPr>
          </w:p>
        </w:tc>
        <w:tc>
          <w:tcPr>
            <w:tcW w:w="1174" w:type="pct"/>
            <w:vAlign w:val="center"/>
          </w:tcPr>
          <w:p w:rsidR="00AC2DFD" w:rsidRPr="004C75D6" w:rsidRDefault="00AC2DFD" w:rsidP="004C75D6">
            <w:pPr>
              <w:adjustRightInd w:val="0"/>
              <w:snapToGrid w:val="0"/>
              <w:spacing w:before="80" w:after="80"/>
              <w:jc w:val="center"/>
              <w:rPr>
                <w:rFonts w:eastAsia="Calibri" w:cs="Arial"/>
                <w:bCs/>
                <w:color w:val="000000"/>
                <w:szCs w:val="20"/>
              </w:rPr>
            </w:pPr>
          </w:p>
        </w:tc>
        <w:tc>
          <w:tcPr>
            <w:tcW w:w="816" w:type="pct"/>
            <w:vAlign w:val="center"/>
          </w:tcPr>
          <w:p w:rsidR="00AC2DFD" w:rsidRPr="004C75D6" w:rsidRDefault="00AC2DFD" w:rsidP="004C75D6">
            <w:pPr>
              <w:adjustRightInd w:val="0"/>
              <w:snapToGrid w:val="0"/>
              <w:spacing w:before="80" w:after="80"/>
              <w:jc w:val="center"/>
              <w:rPr>
                <w:rFonts w:eastAsia="Calibri" w:cs="Arial"/>
                <w:bCs/>
                <w:color w:val="000000"/>
                <w:szCs w:val="20"/>
              </w:rPr>
            </w:pPr>
          </w:p>
        </w:tc>
        <w:tc>
          <w:tcPr>
            <w:tcW w:w="459" w:type="pct"/>
            <w:vAlign w:val="center"/>
          </w:tcPr>
          <w:p w:rsidR="00AC2DFD" w:rsidRPr="004C75D6" w:rsidRDefault="00AC2DFD" w:rsidP="004C75D6">
            <w:pPr>
              <w:adjustRightInd w:val="0"/>
              <w:snapToGrid w:val="0"/>
              <w:spacing w:before="80" w:after="80"/>
              <w:jc w:val="center"/>
              <w:rPr>
                <w:rFonts w:eastAsia="Calibri" w:cs="Arial"/>
                <w:bCs/>
                <w:color w:val="000000"/>
                <w:szCs w:val="20"/>
              </w:rPr>
            </w:pPr>
          </w:p>
        </w:tc>
        <w:tc>
          <w:tcPr>
            <w:tcW w:w="1429" w:type="pct"/>
            <w:vAlign w:val="center"/>
          </w:tcPr>
          <w:p w:rsidR="00AC2DFD" w:rsidRPr="004C75D6" w:rsidRDefault="00AC2DFD" w:rsidP="004C75D6">
            <w:pPr>
              <w:adjustRightInd w:val="0"/>
              <w:snapToGrid w:val="0"/>
              <w:spacing w:before="80" w:after="80"/>
              <w:jc w:val="center"/>
              <w:rPr>
                <w:rFonts w:eastAsia="Calibri" w:cs="Arial"/>
                <w:bCs/>
                <w:color w:val="000000"/>
                <w:szCs w:val="20"/>
              </w:rPr>
            </w:pPr>
          </w:p>
        </w:tc>
        <w:tc>
          <w:tcPr>
            <w:tcW w:w="713" w:type="pct"/>
            <w:vAlign w:val="center"/>
          </w:tcPr>
          <w:p w:rsidR="00AC2DFD" w:rsidRPr="004C75D6" w:rsidRDefault="00AC2DFD" w:rsidP="004C75D6">
            <w:pPr>
              <w:adjustRightInd w:val="0"/>
              <w:snapToGrid w:val="0"/>
              <w:spacing w:before="80" w:after="80"/>
              <w:jc w:val="center"/>
              <w:rPr>
                <w:rFonts w:eastAsia="Calibri" w:cs="Arial"/>
                <w:bCs/>
                <w:color w:val="000000"/>
                <w:szCs w:val="20"/>
              </w:rPr>
            </w:pPr>
          </w:p>
        </w:tc>
      </w:tr>
      <w:tr w:rsidR="00AC2DFD" w:rsidRPr="004C75D6" w:rsidTr="007F3BBF">
        <w:trPr>
          <w:trHeight w:val="20"/>
        </w:trPr>
        <w:tc>
          <w:tcPr>
            <w:tcW w:w="409" w:type="pct"/>
            <w:vAlign w:val="center"/>
          </w:tcPr>
          <w:p w:rsidR="00AC2DFD" w:rsidRPr="004C75D6" w:rsidRDefault="00AC2DFD" w:rsidP="004C75D6">
            <w:pPr>
              <w:adjustRightInd w:val="0"/>
              <w:snapToGrid w:val="0"/>
              <w:spacing w:before="80" w:after="80"/>
              <w:jc w:val="center"/>
              <w:rPr>
                <w:rFonts w:eastAsia="Calibri" w:cs="Arial"/>
                <w:bCs/>
                <w:color w:val="000000"/>
                <w:szCs w:val="20"/>
              </w:rPr>
            </w:pPr>
          </w:p>
        </w:tc>
        <w:tc>
          <w:tcPr>
            <w:tcW w:w="1174" w:type="pct"/>
            <w:vAlign w:val="center"/>
          </w:tcPr>
          <w:p w:rsidR="00AC2DFD" w:rsidRPr="004C75D6" w:rsidRDefault="00AC2DFD" w:rsidP="004C75D6">
            <w:pPr>
              <w:adjustRightInd w:val="0"/>
              <w:snapToGrid w:val="0"/>
              <w:spacing w:before="80" w:after="80"/>
              <w:jc w:val="center"/>
              <w:rPr>
                <w:rFonts w:eastAsia="Calibri" w:cs="Arial"/>
                <w:bCs/>
                <w:color w:val="000000"/>
                <w:szCs w:val="20"/>
              </w:rPr>
            </w:pPr>
          </w:p>
        </w:tc>
        <w:tc>
          <w:tcPr>
            <w:tcW w:w="816" w:type="pct"/>
            <w:vAlign w:val="center"/>
          </w:tcPr>
          <w:p w:rsidR="00AC2DFD" w:rsidRPr="004C75D6" w:rsidRDefault="00AC2DFD" w:rsidP="004C75D6">
            <w:pPr>
              <w:adjustRightInd w:val="0"/>
              <w:snapToGrid w:val="0"/>
              <w:spacing w:before="80" w:after="80"/>
              <w:jc w:val="center"/>
              <w:rPr>
                <w:rFonts w:eastAsia="Calibri" w:cs="Arial"/>
                <w:bCs/>
                <w:color w:val="000000"/>
                <w:szCs w:val="20"/>
              </w:rPr>
            </w:pPr>
          </w:p>
        </w:tc>
        <w:tc>
          <w:tcPr>
            <w:tcW w:w="459" w:type="pct"/>
            <w:vAlign w:val="center"/>
          </w:tcPr>
          <w:p w:rsidR="00AC2DFD" w:rsidRPr="004C75D6" w:rsidRDefault="00AC2DFD" w:rsidP="004C75D6">
            <w:pPr>
              <w:adjustRightInd w:val="0"/>
              <w:snapToGrid w:val="0"/>
              <w:spacing w:before="80" w:after="80"/>
              <w:jc w:val="center"/>
              <w:rPr>
                <w:rFonts w:eastAsia="Calibri" w:cs="Arial"/>
                <w:bCs/>
                <w:color w:val="000000"/>
                <w:szCs w:val="20"/>
              </w:rPr>
            </w:pPr>
          </w:p>
        </w:tc>
        <w:tc>
          <w:tcPr>
            <w:tcW w:w="1429" w:type="pct"/>
            <w:vAlign w:val="center"/>
          </w:tcPr>
          <w:p w:rsidR="00AC2DFD" w:rsidRPr="004C75D6" w:rsidRDefault="00AC2DFD" w:rsidP="004C75D6">
            <w:pPr>
              <w:adjustRightInd w:val="0"/>
              <w:snapToGrid w:val="0"/>
              <w:spacing w:before="80" w:after="80"/>
              <w:jc w:val="center"/>
              <w:rPr>
                <w:rFonts w:eastAsia="Calibri" w:cs="Arial"/>
                <w:bCs/>
                <w:color w:val="000000"/>
                <w:szCs w:val="20"/>
              </w:rPr>
            </w:pPr>
          </w:p>
        </w:tc>
        <w:tc>
          <w:tcPr>
            <w:tcW w:w="713" w:type="pct"/>
            <w:vAlign w:val="center"/>
          </w:tcPr>
          <w:p w:rsidR="00AC2DFD" w:rsidRPr="004C75D6" w:rsidRDefault="00AC2DFD" w:rsidP="004C75D6">
            <w:pPr>
              <w:adjustRightInd w:val="0"/>
              <w:snapToGrid w:val="0"/>
              <w:spacing w:before="80" w:after="80"/>
              <w:jc w:val="center"/>
              <w:rPr>
                <w:rFonts w:eastAsia="Calibri" w:cs="Arial"/>
                <w:bCs/>
                <w:color w:val="000000"/>
                <w:szCs w:val="20"/>
              </w:rPr>
            </w:pPr>
          </w:p>
        </w:tc>
      </w:tr>
    </w:tbl>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Thông tin về người đại diện theo pháp luật:</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 Chức danh: ……………………</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Trường hợp có nhiều nhà đầu tư thì ghi thông tin tương tự như trên.</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 NHÀ ĐẦU TƯ CAM KẾT</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Chịu trách nhiệm trước pháp luật về tính hợp pháp, chính xác, trung thực của hồ sơ và các văn bản gửi cơ quan nhà nước có thẩm quyền.</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Chấp hành các quy định của pháp luật Việt Nam và các nội dung tại Quyết định chấp thuận chủ trương đầu tư/Quyết định phê duyệt kết quả trúng đấu giá hoặc Quyết định phê duyệt kết quả lựa chọn nhà đầu tư/Quyết định chấp thuận nhà đầu tư.</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III. HỒ SƠ KÈM THEO</w:t>
      </w:r>
    </w:p>
    <w:p w:rsidR="00AC2DFD" w:rsidRPr="004C75D6" w:rsidRDefault="00AC2DFD"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w:t>
      </w:r>
    </w:p>
    <w:p w:rsidR="00AC2DFD" w:rsidRPr="004C75D6" w:rsidRDefault="00AC2DFD" w:rsidP="004C75D6">
      <w:pPr>
        <w:adjustRightInd w:val="0"/>
        <w:snapToGrid w:val="0"/>
        <w:jc w:val="center"/>
        <w:rPr>
          <w:rFonts w:eastAsia="Calibri" w:cs="Arial"/>
          <w:bCs/>
          <w:color w:val="000000"/>
          <w:szCs w:val="20"/>
        </w:rPr>
      </w:pPr>
      <w:r w:rsidRPr="004C75D6">
        <w:rPr>
          <w:rFonts w:eastAsia="Calibri" w:cs="Arial"/>
          <w:bCs/>
          <w:color w:val="00000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9"/>
        <w:gridCol w:w="6017"/>
      </w:tblGrid>
      <w:tr w:rsidR="00AC2DFD" w:rsidRPr="004C75D6" w:rsidTr="007F3BBF">
        <w:trPr>
          <w:tblCellSpacing w:w="0" w:type="dxa"/>
        </w:trPr>
        <w:tc>
          <w:tcPr>
            <w:tcW w:w="1667" w:type="pct"/>
            <w:shd w:val="clear" w:color="auto" w:fill="FFFFFF"/>
            <w:hideMark/>
          </w:tcPr>
          <w:p w:rsidR="00AC2DFD" w:rsidRPr="004C75D6" w:rsidRDefault="00AC2DFD" w:rsidP="004C75D6">
            <w:pPr>
              <w:adjustRightInd w:val="0"/>
              <w:snapToGrid w:val="0"/>
              <w:jc w:val="center"/>
              <w:rPr>
                <w:rFonts w:eastAsia="Calibri" w:cs="Arial"/>
                <w:bCs/>
                <w:color w:val="000000"/>
                <w:szCs w:val="20"/>
              </w:rPr>
            </w:pPr>
            <w:r w:rsidRPr="004C75D6">
              <w:rPr>
                <w:rFonts w:eastAsia="Calibri" w:cs="Arial"/>
                <w:bCs/>
                <w:color w:val="000000"/>
                <w:szCs w:val="20"/>
              </w:rPr>
              <w:t> </w:t>
            </w:r>
          </w:p>
        </w:tc>
        <w:tc>
          <w:tcPr>
            <w:tcW w:w="3333" w:type="pct"/>
            <w:shd w:val="clear" w:color="auto" w:fill="FFFFFF"/>
            <w:hideMark/>
          </w:tcPr>
          <w:p w:rsidR="00AC2DFD" w:rsidRPr="004C75D6" w:rsidRDefault="00AC2DFD" w:rsidP="004C75D6">
            <w:pPr>
              <w:adjustRightInd w:val="0"/>
              <w:snapToGrid w:val="0"/>
              <w:jc w:val="center"/>
              <w:rPr>
                <w:rFonts w:eastAsia="Calibri" w:cs="Arial"/>
                <w:bCs/>
                <w:color w:val="000000"/>
                <w:szCs w:val="20"/>
              </w:rPr>
            </w:pPr>
            <w:r w:rsidRPr="004C75D6">
              <w:rPr>
                <w:rFonts w:eastAsia="Calibri" w:cs="Arial"/>
                <w:bCs/>
                <w:color w:val="000000"/>
                <w:szCs w:val="20"/>
              </w:rPr>
              <w:t>………, ngày …… tháng …… năm ……</w:t>
            </w:r>
            <w:r w:rsidRPr="004C75D6">
              <w:rPr>
                <w:rFonts w:eastAsia="Calibri" w:cs="Arial"/>
                <w:bCs/>
                <w:color w:val="000000"/>
                <w:szCs w:val="20"/>
              </w:rPr>
              <w:br/>
            </w:r>
            <w:r w:rsidRPr="004C75D6">
              <w:rPr>
                <w:rFonts w:eastAsia="Calibri" w:cs="Arial"/>
                <w:b/>
                <w:bCs/>
                <w:color w:val="000000"/>
                <w:szCs w:val="20"/>
              </w:rPr>
              <w:t>Nhà đầu tư/Tổ chức kinh tế thực hiện dự án</w:t>
            </w:r>
            <w:r w:rsidRPr="004C75D6">
              <w:rPr>
                <w:rFonts w:eastAsia="Calibri" w:cs="Arial"/>
                <w:bCs/>
                <w:color w:val="000000"/>
                <w:szCs w:val="20"/>
              </w:rPr>
              <w:br/>
            </w:r>
            <w:r w:rsidRPr="004C75D6">
              <w:rPr>
                <w:rFonts w:eastAsia="Calibri" w:cs="Arial"/>
                <w:bCs/>
                <w:i/>
                <w:iCs/>
                <w:color w:val="000000"/>
                <w:szCs w:val="20"/>
              </w:rPr>
              <w:t>(Nhà đầu tư/Người đại diện theo pháp luật ký,</w:t>
            </w:r>
            <w:r w:rsidRPr="004C75D6">
              <w:rPr>
                <w:rFonts w:eastAsia="Calibri" w:cs="Arial"/>
                <w:bCs/>
                <w:i/>
                <w:iCs/>
                <w:color w:val="000000"/>
                <w:szCs w:val="20"/>
              </w:rPr>
              <w:br/>
              <w:t>ghi rõ họ tên, chức danh và đóng dấu (nếu có))</w:t>
            </w:r>
          </w:p>
        </w:tc>
      </w:tr>
    </w:tbl>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AC2DFD" w:rsidRPr="004C75D6" w:rsidRDefault="00AC2DFD" w:rsidP="004C75D6">
      <w:pPr>
        <w:adjustRightInd w:val="0"/>
        <w:snapToGrid w:val="0"/>
        <w:spacing w:after="120"/>
        <w:ind w:firstLine="720"/>
        <w:jc w:val="both"/>
        <w:rPr>
          <w:rFonts w:eastAsia="Calibri" w:cs="Arial"/>
          <w:bCs/>
          <w:color w:val="000000"/>
          <w:szCs w:val="20"/>
        </w:rPr>
      </w:pP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___________________________</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1</w:t>
      </w:r>
      <w:r w:rsidRPr="004C75D6">
        <w:rPr>
          <w:rFonts w:eastAsia="Calibri" w:cs="Arial"/>
          <w:bCs/>
          <w:color w:val="000000"/>
          <w:szCs w:val="20"/>
        </w:rPr>
        <w:t> Mã số định danh cá nhân:</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rsidR="00AC2DFD" w:rsidRPr="004C75D6" w:rsidRDefault="00AC2DFD"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 </w:t>
      </w:r>
    </w:p>
    <w:p w:rsidR="00371B12" w:rsidRDefault="00371B12"/>
    <w:sectPr w:rsidR="00371B12" w:rsidSect="006C5A10">
      <w:pgSz w:w="11906" w:h="16838"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FD"/>
    <w:rsid w:val="000737B1"/>
    <w:rsid w:val="00371B12"/>
    <w:rsid w:val="003E6ED8"/>
    <w:rsid w:val="00422C7B"/>
    <w:rsid w:val="00456E27"/>
    <w:rsid w:val="005E3494"/>
    <w:rsid w:val="006C5A10"/>
    <w:rsid w:val="008B3F3C"/>
    <w:rsid w:val="009C53AF"/>
    <w:rsid w:val="00AC2DFD"/>
    <w:rsid w:val="00D63056"/>
    <w:rsid w:val="00E5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BAB38-68C1-4310-BD60-8F71967F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D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2D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2DF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2DF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C2DF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C2DF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2DF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2D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2D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D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2D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2DF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2DF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C2DF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C2D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2D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2D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2D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2DFD"/>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C2DF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C2D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D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2D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2DFD"/>
    <w:rPr>
      <w:i/>
      <w:iCs/>
      <w:color w:val="404040" w:themeColor="text1" w:themeTint="BF"/>
    </w:rPr>
  </w:style>
  <w:style w:type="paragraph" w:styleId="ListParagraph">
    <w:name w:val="List Paragraph"/>
    <w:basedOn w:val="Normal"/>
    <w:uiPriority w:val="34"/>
    <w:qFormat/>
    <w:rsid w:val="00AC2DFD"/>
    <w:pPr>
      <w:ind w:left="720"/>
      <w:contextualSpacing/>
    </w:pPr>
  </w:style>
  <w:style w:type="character" w:styleId="IntenseEmphasis">
    <w:name w:val="Intense Emphasis"/>
    <w:basedOn w:val="DefaultParagraphFont"/>
    <w:uiPriority w:val="21"/>
    <w:qFormat/>
    <w:rsid w:val="00AC2DFD"/>
    <w:rPr>
      <w:i/>
      <w:iCs/>
      <w:color w:val="2F5496" w:themeColor="accent1" w:themeShade="BF"/>
    </w:rPr>
  </w:style>
  <w:style w:type="paragraph" w:styleId="IntenseQuote">
    <w:name w:val="Intense Quote"/>
    <w:basedOn w:val="Normal"/>
    <w:next w:val="Normal"/>
    <w:link w:val="IntenseQuoteChar"/>
    <w:uiPriority w:val="30"/>
    <w:qFormat/>
    <w:rsid w:val="00AC2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2DFD"/>
    <w:rPr>
      <w:i/>
      <w:iCs/>
      <w:color w:val="2F5496" w:themeColor="accent1" w:themeShade="BF"/>
    </w:rPr>
  </w:style>
  <w:style w:type="character" w:styleId="IntenseReference">
    <w:name w:val="Intense Reference"/>
    <w:basedOn w:val="DefaultParagraphFont"/>
    <w:uiPriority w:val="32"/>
    <w:qFormat/>
    <w:rsid w:val="00AC2D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2026-05-19T09:44:00Z</dcterms:created>
  <dcterms:modified xsi:type="dcterms:W3CDTF">2026-05-19T09:44:00Z</dcterms:modified>
</cp:coreProperties>
</file>