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Mẫu I.1.2</w:t>
      </w:r>
    </w:p>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Đề xuất dự án đầu tư</w:t>
      </w:r>
    </w:p>
    <w:p w:rsidR="00C7406E" w:rsidRPr="004C75D6" w:rsidRDefault="00C7406E" w:rsidP="004C75D6">
      <w:pPr>
        <w:adjustRightInd w:val="0"/>
        <w:snapToGrid w:val="0"/>
        <w:jc w:val="center"/>
        <w:rPr>
          <w:rFonts w:eastAsia="Calibri" w:cs="Arial"/>
          <w:bCs/>
          <w:color w:val="000000"/>
          <w:szCs w:val="20"/>
        </w:rPr>
      </w:pPr>
      <w:r w:rsidRPr="004C75D6">
        <w:rPr>
          <w:rFonts w:eastAsia="Calibri" w:cs="Arial"/>
          <w:bCs/>
          <w:i/>
          <w:iCs/>
          <w:color w:val="000000"/>
          <w:szCs w:val="20"/>
        </w:rPr>
        <w:t>(Dự án thuộc diện chấp thuận chủ trương đầu tư do cơ quan có thẩm quyền lập)</w:t>
      </w:r>
    </w:p>
    <w:p w:rsidR="00C7406E" w:rsidRPr="004C75D6" w:rsidRDefault="00C7406E" w:rsidP="004C75D6">
      <w:pPr>
        <w:adjustRightInd w:val="0"/>
        <w:snapToGrid w:val="0"/>
        <w:jc w:val="center"/>
        <w:rPr>
          <w:rFonts w:eastAsia="Calibri" w:cs="Arial"/>
          <w:bCs/>
          <w:i/>
          <w:iCs/>
          <w:color w:val="000000"/>
          <w:szCs w:val="20"/>
        </w:rPr>
      </w:pPr>
      <w:r w:rsidRPr="004C75D6">
        <w:rPr>
          <w:rFonts w:eastAsia="Calibri" w:cs="Arial"/>
          <w:bCs/>
          <w:i/>
          <w:iCs/>
          <w:color w:val="000000"/>
          <w:szCs w:val="20"/>
        </w:rPr>
        <w:t>Điểm b khoản 2 Điều 32 Nghị định số 96/2026/NĐ-CP</w:t>
      </w:r>
    </w:p>
    <w:p w:rsidR="00C7406E" w:rsidRPr="004C75D6" w:rsidRDefault="00C7406E" w:rsidP="004C75D6">
      <w:pPr>
        <w:adjustRightInd w:val="0"/>
        <w:snapToGrid w:val="0"/>
        <w:jc w:val="center"/>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C7406E" w:rsidRPr="004C75D6" w:rsidRDefault="00C7406E" w:rsidP="004C75D6">
      <w:pPr>
        <w:adjustRightInd w:val="0"/>
        <w:snapToGrid w:val="0"/>
        <w:jc w:val="center"/>
        <w:rPr>
          <w:rFonts w:eastAsia="Calibri" w:cs="Arial"/>
          <w:bCs/>
          <w:color w:val="00000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8"/>
      </w:tblGrid>
      <w:tr w:rsidR="00C7406E" w:rsidRPr="004C75D6" w:rsidTr="007F3BBF">
        <w:trPr>
          <w:trHeight w:val="20"/>
          <w:tblCellSpacing w:w="0" w:type="dxa"/>
        </w:trPr>
        <w:tc>
          <w:tcPr>
            <w:tcW w:w="2198" w:type="pct"/>
            <w:shd w:val="clear" w:color="auto" w:fill="FFFFFF"/>
            <w:hideMark/>
          </w:tcPr>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 xml:space="preserve">TÊN CƠ QUAN ĐỀ XUẤT </w:t>
            </w:r>
            <w:r w:rsidRPr="004C75D6">
              <w:rPr>
                <w:rFonts w:eastAsia="Calibri" w:cs="Arial"/>
                <w:b/>
                <w:bCs/>
                <w:color w:val="000000"/>
                <w:szCs w:val="20"/>
              </w:rPr>
              <w:br/>
              <w:t>DỰ ÁN</w:t>
            </w:r>
            <w:r w:rsidRPr="004C75D6">
              <w:rPr>
                <w:rFonts w:eastAsia="Calibri" w:cs="Arial"/>
                <w:b/>
                <w:bCs/>
                <w:color w:val="000000"/>
                <w:szCs w:val="20"/>
              </w:rPr>
              <w:br/>
            </w:r>
            <w:r w:rsidRPr="004C75D6">
              <w:rPr>
                <w:rFonts w:eastAsia="Calibri" w:cs="Arial"/>
                <w:bCs/>
                <w:color w:val="000000"/>
                <w:szCs w:val="20"/>
                <w:vertAlign w:val="superscript"/>
              </w:rPr>
              <w:t>_________</w:t>
            </w:r>
            <w:r w:rsidRPr="004C75D6">
              <w:rPr>
                <w:rFonts w:eastAsia="Calibri" w:cs="Arial"/>
                <w:bCs/>
                <w:color w:val="000000"/>
                <w:szCs w:val="20"/>
              </w:rPr>
              <w:br/>
              <w:t>Số: ……………</w:t>
            </w:r>
          </w:p>
        </w:tc>
        <w:tc>
          <w:tcPr>
            <w:tcW w:w="2802" w:type="pct"/>
            <w:shd w:val="clear" w:color="auto" w:fill="FFFFFF"/>
            <w:hideMark/>
          </w:tcPr>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CỘNG HÒA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r w:rsidRPr="004C75D6">
              <w:rPr>
                <w:rFonts w:eastAsia="Calibri" w:cs="Arial"/>
                <w:bCs/>
                <w:color w:val="000000"/>
                <w:szCs w:val="20"/>
              </w:rPr>
              <w:br/>
            </w:r>
          </w:p>
        </w:tc>
      </w:tr>
    </w:tbl>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 </w:t>
      </w:r>
    </w:p>
    <w:p w:rsidR="00C7406E" w:rsidRPr="004C75D6" w:rsidRDefault="00C7406E" w:rsidP="004C75D6">
      <w:pPr>
        <w:adjustRightInd w:val="0"/>
        <w:snapToGrid w:val="0"/>
        <w:jc w:val="center"/>
        <w:rPr>
          <w:rFonts w:eastAsia="Calibri" w:cs="Arial"/>
          <w:bCs/>
          <w:color w:val="000000"/>
          <w:szCs w:val="20"/>
        </w:rPr>
      </w:pPr>
      <w:r w:rsidRPr="004C75D6">
        <w:rPr>
          <w:rFonts w:eastAsia="Calibri" w:cs="Arial"/>
          <w:b/>
          <w:bCs/>
          <w:color w:val="000000"/>
          <w:szCs w:val="20"/>
        </w:rPr>
        <w:t>ĐỀ XUẤT DỰ ÁN ĐẦU TƯ</w:t>
      </w:r>
      <w:r w:rsidRPr="004C75D6">
        <w:rPr>
          <w:rFonts w:eastAsia="Calibri" w:cs="Arial"/>
          <w:b/>
          <w:bCs/>
          <w:color w:val="000000"/>
          <w:szCs w:val="20"/>
          <w:vertAlign w:val="superscript"/>
        </w:rPr>
        <w:t>1</w:t>
      </w:r>
    </w:p>
    <w:p w:rsidR="00C7406E" w:rsidRPr="004C75D6" w:rsidRDefault="00C7406E" w:rsidP="004C75D6">
      <w:pPr>
        <w:adjustRightInd w:val="0"/>
        <w:snapToGrid w:val="0"/>
        <w:jc w:val="center"/>
        <w:rPr>
          <w:rFonts w:eastAsia="Calibri" w:cs="Arial"/>
          <w:b/>
          <w:bCs/>
          <w:color w:val="000000"/>
          <w:szCs w:val="20"/>
        </w:rPr>
      </w:pP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Tên dự án </w:t>
      </w:r>
      <w:r w:rsidRPr="004C75D6">
        <w:rPr>
          <w:rFonts w:eastAsia="Calibri" w:cs="Arial"/>
          <w:bCs/>
          <w:i/>
          <w:iCs/>
          <w:color w:val="000000"/>
          <w:szCs w:val="20"/>
        </w:rPr>
        <w:t>(nếu có)</w:t>
      </w:r>
      <w:r w:rsidRPr="004C75D6">
        <w:rPr>
          <w:rFonts w:eastAsia="Calibri" w:cs="Arial"/>
          <w:bCs/>
          <w:color w:val="000000"/>
          <w:szCs w:val="20"/>
        </w:rPr>
        <w:t>: .........................................................................................................</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Mục tiêu hoạt động của dự án: </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Địa điểm thực hiện dự án</w:t>
      </w:r>
      <w:r w:rsidRPr="004C75D6">
        <w:rPr>
          <w:rFonts w:eastAsia="Calibri" w:cs="Arial"/>
          <w:bCs/>
          <w:color w:val="000000"/>
          <w:szCs w:val="20"/>
          <w:vertAlign w:val="superscript"/>
        </w:rPr>
        <w:t>2</w:t>
      </w:r>
      <w:r w:rsidRPr="004C75D6">
        <w:rPr>
          <w:rFonts w:eastAsia="Calibri" w:cs="Arial"/>
          <w:b/>
          <w:bCs/>
          <w:color w:val="000000"/>
          <w:szCs w:val="20"/>
        </w:rPr>
        <w:t>: </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Quy mô dự án: </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Miêu tả quy mô bằng các tiêu chí </w:t>
      </w:r>
      <w:r w:rsidRPr="004C75D6">
        <w:rPr>
          <w:rFonts w:eastAsia="Calibri" w:cs="Arial"/>
          <w:bCs/>
          <w:i/>
          <w:iCs/>
          <w:color w:val="000000"/>
          <w:szCs w:val="20"/>
        </w:rPr>
        <w:t>(nếu có)</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Diện tích đất, mặt nước, mặt bằng dự kiến sử dụng </w:t>
      </w:r>
      <w:r w:rsidRPr="004C75D6">
        <w:rPr>
          <w:rFonts w:eastAsia="Calibri" w:cs="Arial"/>
          <w:bCs/>
          <w:i/>
          <w:iCs/>
          <w:color w:val="000000"/>
          <w:szCs w:val="20"/>
        </w:rPr>
        <w:t>(m</w:t>
      </w:r>
      <w:r w:rsidRPr="004C75D6">
        <w:rPr>
          <w:rFonts w:eastAsia="Calibri" w:cs="Arial"/>
          <w:bCs/>
          <w:i/>
          <w:iCs/>
          <w:color w:val="000000"/>
          <w:szCs w:val="20"/>
          <w:vertAlign w:val="superscript"/>
        </w:rPr>
        <w:t>2</w:t>
      </w:r>
      <w:r w:rsidRPr="004C75D6">
        <w:rPr>
          <w:rFonts w:eastAsia="Calibri" w:cs="Arial"/>
          <w:bCs/>
          <w:i/>
          <w:iCs/>
          <w:color w:val="000000"/>
          <w:szCs w:val="20"/>
        </w:rPr>
        <w:t> hoặc ha);</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w:t>
      </w:r>
      <w:r w:rsidRPr="004C75D6">
        <w:rPr>
          <w:rFonts w:eastAsia="Calibri" w:cs="Arial"/>
          <w:bCs/>
          <w:color w:val="000000"/>
          <w:szCs w:val="20"/>
        </w:rPr>
        <w:t>Diện tích đất phù hợp quy hoạch sử dụng đất: ……… m</w:t>
      </w:r>
      <w:r w:rsidRPr="004C75D6">
        <w:rPr>
          <w:rFonts w:eastAsia="Calibri" w:cs="Arial"/>
          <w:bCs/>
          <w:color w:val="000000"/>
          <w:szCs w:val="20"/>
          <w:vertAlign w:val="superscript"/>
        </w:rPr>
        <w:t>2</w:t>
      </w:r>
      <w:r w:rsidRPr="004C75D6">
        <w:rPr>
          <w:rFonts w:eastAsia="Calibri" w:cs="Arial"/>
          <w:bCs/>
          <w:color w:val="000000"/>
          <w:szCs w:val="20"/>
        </w:rPr>
        <w:t> (trừ diện tích đất thuộc lộ giới hoặc diện tích đất không phù hợp quy hoạch);</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Công suất thiết kế;</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Sản phẩm, dịch vụ cung cấp;</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kiến trúc xây dựng dự kiến </w:t>
      </w:r>
      <w:r w:rsidRPr="004C75D6">
        <w:rPr>
          <w:rFonts w:eastAsia="Calibri" w:cs="Arial"/>
          <w:bCs/>
          <w:i/>
          <w:iCs/>
          <w:color w:val="000000"/>
          <w:szCs w:val="20"/>
        </w:rPr>
        <w:t>(diện tích xây dựng, diện tích sàn, số tầng, chiều cao công trình,</w:t>
      </w:r>
      <w:r w:rsidRPr="004C75D6">
        <w:rPr>
          <w:rFonts w:eastAsia="Calibri" w:cs="Arial"/>
          <w:bCs/>
          <w:color w:val="000000"/>
          <w:szCs w:val="20"/>
        </w:rPr>
        <w:t> </w:t>
      </w:r>
      <w:r w:rsidRPr="004C75D6">
        <w:rPr>
          <w:rFonts w:eastAsia="Calibri" w:cs="Arial"/>
          <w:bCs/>
          <w:i/>
          <w:iCs/>
          <w:color w:val="000000"/>
          <w:szCs w:val="20"/>
        </w:rPr>
        <w:t>mật độ xây dựng, hệ số sử dụng đất,…);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Trường hợp dự án có nhiều giai đoạn, từng giai đoạn được miêu tả như trên.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Trong trường hợp có mục tiêu đầu tư xây dựng nhà ở (để bán, cho thuê, cho thuê mua), khu đô thị đề nghị ghi rõ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Vị trí dự án thuộc khu vực đô thị: …… </w:t>
      </w:r>
      <w:r w:rsidRPr="004C75D6">
        <w:rPr>
          <w:rFonts w:eastAsia="Calibri" w:cs="Arial"/>
          <w:bCs/>
          <w:i/>
          <w:iCs/>
          <w:color w:val="000000"/>
          <w:szCs w:val="20"/>
        </w:rPr>
        <w:t>(có/không);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án thuộc phạm vi bảo vệ của di tích được cấp có thẩm quyền công nhận là di tích quốc gia, di tích quốc gia đặc biệt: …… </w:t>
      </w:r>
      <w:r w:rsidRPr="004C75D6">
        <w:rPr>
          <w:rFonts w:eastAsia="Calibri" w:cs="Arial"/>
          <w:bCs/>
          <w:i/>
          <w:iCs/>
          <w:color w:val="000000"/>
          <w:szCs w:val="20"/>
        </w:rPr>
        <w:t>(có/không);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án thuộc khu vực hạn chế phát triển hoặc nội đô lịch sử (được xác định trong đồ án quy hoạch đô thị) của đô thị loại đặc biệt: …… </w:t>
      </w:r>
      <w:r w:rsidRPr="004C75D6">
        <w:rPr>
          <w:rFonts w:eastAsia="Calibri" w:cs="Arial"/>
          <w:bCs/>
          <w:i/>
          <w:iCs/>
          <w:color w:val="000000"/>
          <w:szCs w:val="20"/>
        </w:rPr>
        <w:t>(có/không);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5. Tổng vốn đầu tư dự kiến: </w:t>
      </w:r>
      <w:r w:rsidRPr="004C75D6">
        <w:rPr>
          <w:rFonts w:eastAsia="Calibri" w:cs="Arial"/>
          <w:bCs/>
          <w:color w:val="000000"/>
          <w:szCs w:val="20"/>
        </w:rPr>
        <w:t>………………………………………….</w:t>
      </w:r>
      <w:r w:rsidRPr="004C75D6">
        <w:rPr>
          <w:rFonts w:eastAsia="Calibri" w:cs="Arial"/>
          <w:bCs/>
          <w:i/>
          <w:iCs/>
          <w:color w:val="000000"/>
          <w:szCs w:val="20"/>
        </w:rPr>
        <w:t> (tổng vốn bằng VNĐ)</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6. Thời hạn hoạt động của dự án: </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7. Tiến độ thực hiện dự án </w:t>
      </w:r>
      <w:r w:rsidRPr="004C75D6">
        <w:rPr>
          <w:rFonts w:eastAsia="Calibri" w:cs="Arial"/>
          <w:bCs/>
          <w:i/>
          <w:iCs/>
          <w:color w:val="000000"/>
          <w:szCs w:val="20"/>
        </w:rPr>
        <w:t>(ghi theo mốc thời điểm tháng (hoặc quý)/năm. Ví dụ: tháng 01 (hoặc quý I)/2026):</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Tiến độ góp vốn và huy động các nguồn vốn </w:t>
      </w:r>
      <w:r w:rsidRPr="004C75D6">
        <w:rPr>
          <w:rFonts w:eastAsia="Calibri" w:cs="Arial"/>
          <w:bCs/>
          <w:i/>
          <w:iCs/>
          <w:color w:val="000000"/>
          <w:szCs w:val="20"/>
        </w:rPr>
        <w:t>(nếu có)</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Tiến độ thực hiện các mục tiêu hoạt động của dự án;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Tiến độ xây dựng cơ bản và đưa công trình vào hoạt động hoặc khai thác vận hành </w:t>
      </w:r>
      <w:r w:rsidRPr="004C75D6">
        <w:rPr>
          <w:rFonts w:eastAsia="Calibri" w:cs="Arial"/>
          <w:bCs/>
          <w:i/>
          <w:iCs/>
          <w:color w:val="000000"/>
          <w:szCs w:val="20"/>
        </w:rPr>
        <w:t>(nếu có);</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d) Sơ bộ phương án phân kỳ đầu tư hoặc phân chia dự án thành phần </w:t>
      </w:r>
      <w:r w:rsidRPr="004C75D6">
        <w:rPr>
          <w:rFonts w:eastAsia="Calibri" w:cs="Arial"/>
          <w:bCs/>
          <w:i/>
          <w:iCs/>
          <w:color w:val="000000"/>
          <w:szCs w:val="20"/>
        </w:rPr>
        <w:t>(nếu có);</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dự án chia thành nhiều giai đoạn thì phải ghi rõ tiến độ thực hiện từng giai đoạn).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8. Đánh giá tác động, hiệu quả kinh tế - xã hội của dự án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Những tác động quan trọng nhất dự án mang lại cho sự phát triển kinh tế - xã hội của địa phương, ngành (tạo việc làm, nộp ngân sách, xuất khẩu, chuyển giao công nghệ…).</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9. Thông tin về sử dụng đất, rừng, khu vực biển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Hiện trạng sử dụng đất </w:t>
      </w:r>
      <w:r w:rsidRPr="004C75D6">
        <w:rPr>
          <w:rFonts w:eastAsia="Calibri" w:cs="Arial"/>
          <w:bCs/>
          <w:i/>
          <w:iCs/>
          <w:color w:val="000000"/>
          <w:szCs w:val="20"/>
        </w:rPr>
        <w:t>(nếu có)</w:t>
      </w:r>
      <w:r w:rsidRPr="004C75D6">
        <w:rPr>
          <w:rFonts w:eastAsia="Calibri" w:cs="Arial"/>
          <w:bCs/>
          <w:color w:val="000000"/>
          <w:szCs w:val="20"/>
        </w:rPr>
        <w:t>, sử dụng rừng </w:t>
      </w:r>
      <w:r w:rsidRPr="004C75D6">
        <w:rPr>
          <w:rFonts w:eastAsia="Calibri" w:cs="Arial"/>
          <w:bCs/>
          <w:i/>
          <w:iCs/>
          <w:color w:val="000000"/>
          <w:szCs w:val="20"/>
        </w:rPr>
        <w:t>(nếu có)</w:t>
      </w:r>
      <w:r w:rsidRPr="004C75D6">
        <w:rPr>
          <w:rFonts w:eastAsia="Calibri" w:cs="Arial"/>
          <w:bCs/>
          <w:color w:val="000000"/>
          <w:szCs w:val="20"/>
        </w:rPr>
        <w:t>, sử dụng khu vực biển </w:t>
      </w:r>
      <w:r w:rsidRPr="004C75D6">
        <w:rPr>
          <w:rFonts w:eastAsia="Calibri" w:cs="Arial"/>
          <w:bCs/>
          <w:i/>
          <w:iCs/>
          <w:color w:val="000000"/>
          <w:szCs w:val="20"/>
        </w:rPr>
        <w:t>(nếu có)</w:t>
      </w:r>
      <w:r w:rsidRPr="004C75D6">
        <w:rPr>
          <w:rFonts w:eastAsia="Calibri" w:cs="Arial"/>
          <w:bCs/>
          <w:color w:val="000000"/>
          <w:szCs w:val="20"/>
        </w:rPr>
        <w:t> tại địa điểm thực hiện dự án theo quy định của pháp luật chuyên ngành;</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Điều kiện thu hồi đất đối với dự án thuộc diện thu hồi đất;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Dự kiến nhu cầu sử dụng đất </w:t>
      </w:r>
      <w:r w:rsidRPr="004C75D6">
        <w:rPr>
          <w:rFonts w:eastAsia="Calibri" w:cs="Arial"/>
          <w:bCs/>
          <w:i/>
          <w:iCs/>
          <w:color w:val="000000"/>
          <w:szCs w:val="20"/>
        </w:rPr>
        <w:t>(nếu có)</w:t>
      </w:r>
      <w:r w:rsidRPr="004C75D6">
        <w:rPr>
          <w:rFonts w:eastAsia="Calibri" w:cs="Arial"/>
          <w:bCs/>
          <w:color w:val="000000"/>
          <w:szCs w:val="20"/>
        </w:rPr>
        <w:t>, sử dụng rừng </w:t>
      </w:r>
      <w:r w:rsidRPr="004C75D6">
        <w:rPr>
          <w:rFonts w:eastAsia="Calibri" w:cs="Arial"/>
          <w:bCs/>
          <w:i/>
          <w:iCs/>
          <w:color w:val="000000"/>
          <w:szCs w:val="20"/>
        </w:rPr>
        <w:t>(nếu có)</w:t>
      </w:r>
      <w:r w:rsidRPr="004C75D6">
        <w:rPr>
          <w:rFonts w:eastAsia="Calibri" w:cs="Arial"/>
          <w:bCs/>
          <w:color w:val="000000"/>
          <w:szCs w:val="20"/>
        </w:rPr>
        <w:t>, sử dụng khu vực biển </w:t>
      </w:r>
      <w:r w:rsidRPr="004C75D6">
        <w:rPr>
          <w:rFonts w:eastAsia="Calibri" w:cs="Arial"/>
          <w:bCs/>
          <w:i/>
          <w:iCs/>
          <w:color w:val="000000"/>
          <w:szCs w:val="20"/>
        </w:rPr>
        <w:t>(nếu có)</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4C75D6">
        <w:rPr>
          <w:rFonts w:eastAsia="Calibri" w:cs="Arial"/>
          <w:bCs/>
          <w:i/>
          <w:iCs/>
          <w:color w:val="000000"/>
          <w:szCs w:val="20"/>
        </w:rPr>
        <w:t>(nếu có)</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10. Giải trình về sự phù hợp của dự án với quy hoạch có liên quan</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11. Đánh giá sơ bộ tác động môi trường </w:t>
      </w:r>
      <w:r w:rsidRPr="004C75D6">
        <w:rPr>
          <w:rFonts w:eastAsia="Calibri" w:cs="Arial"/>
          <w:bCs/>
          <w:i/>
          <w:iCs/>
          <w:color w:val="000000"/>
          <w:szCs w:val="20"/>
        </w:rPr>
        <w:t>(nếu có)</w:t>
      </w:r>
      <w:r w:rsidRPr="004C75D6">
        <w:rPr>
          <w:rFonts w:eastAsia="Calibri" w:cs="Arial"/>
          <w:b/>
          <w:bCs/>
          <w:color w:val="000000"/>
          <w:szCs w:val="20"/>
        </w:rPr>
        <w:t> theo quy định pháp luật về bảo vệ môi trường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12. Dự kiến hình thức lựa chọn nhà đầu tư và điều kiện đối với nhà đầu tư </w:t>
      </w:r>
      <w:r w:rsidRPr="004C75D6">
        <w:rPr>
          <w:rFonts w:eastAsia="Calibri" w:cs="Arial"/>
          <w:bCs/>
          <w:i/>
          <w:iCs/>
          <w:color w:val="000000"/>
          <w:szCs w:val="20"/>
        </w:rPr>
        <w:t>(nếu có)</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13. Yêu cầu về công nghệ sử dụng trong dự án đầu tư </w:t>
      </w:r>
      <w:r w:rsidRPr="004C75D6">
        <w:rPr>
          <w:rFonts w:eastAsia="Calibri" w:cs="Arial"/>
          <w:bCs/>
          <w:i/>
          <w:iCs/>
          <w:color w:val="000000"/>
          <w:szCs w:val="20"/>
        </w:rPr>
        <w:t>(đối với dự án thuộc diện thẩm định, lấy ý kiến về công nghệ theo quy định của pháp luật về chuyển giao công nghệ (nếu có)).</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14. Đối với dự án đầu tư xây dựng, đề nghị bổ sung các nội dung: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w:t>
      </w:r>
      <w:r w:rsidRPr="004C75D6">
        <w:rPr>
          <w:rFonts w:eastAsia="Calibri" w:cs="Arial"/>
          <w:b/>
          <w:bCs/>
          <w:color w:val="000000"/>
          <w:szCs w:val="20"/>
        </w:rPr>
        <w:t> </w:t>
      </w:r>
      <w:r w:rsidRPr="004C75D6">
        <w:rPr>
          <w:rFonts w:eastAsia="Calibri" w:cs="Arial"/>
          <w:bCs/>
          <w:color w:val="000000"/>
          <w:szCs w:val="20"/>
        </w:rPr>
        <w:t>Đối với dự án đầu tư xây dựng nhà ở, khu đô thị: bổ sung thuyết minh việc đáp ứng mục tiêu, định hướng phát triển đô thị, chương trình, kế hoạch phát triển nhà ở; dự kiến phân chia dự án thành phần </w:t>
      </w:r>
      <w:r w:rsidRPr="004C75D6">
        <w:rPr>
          <w:rFonts w:eastAsia="Calibri" w:cs="Arial"/>
          <w:bCs/>
          <w:i/>
          <w:iCs/>
          <w:color w:val="000000"/>
          <w:szCs w:val="20"/>
        </w:rPr>
        <w:t>(nếu có)</w:t>
      </w:r>
      <w:r w:rsidRPr="004C75D6">
        <w:rPr>
          <w:rFonts w:eastAsia="Calibri" w:cs="Arial"/>
          <w:bCs/>
          <w:color w:val="000000"/>
          <w:szCs w:val="20"/>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Đối với các dự án đầu tư xây dựng không thuộc trường hợp quy định tại điểm a khoản này: bổ sung dự kiến phân chia dự án thành phần </w:t>
      </w:r>
      <w:r w:rsidRPr="004C75D6">
        <w:rPr>
          <w:rFonts w:eastAsia="Calibri" w:cs="Arial"/>
          <w:bCs/>
          <w:i/>
          <w:iCs/>
          <w:color w:val="000000"/>
          <w:szCs w:val="20"/>
        </w:rPr>
        <w:t>(nếu có)</w:t>
      </w:r>
      <w:r w:rsidRPr="004C75D6">
        <w:rPr>
          <w:rFonts w:eastAsia="Calibri" w:cs="Arial"/>
          <w:bCs/>
          <w:color w:val="000000"/>
          <w:szCs w:val="20"/>
        </w:rPr>
        <w:t>.</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15. Cơ chế, chính sách đặc biệt </w:t>
      </w:r>
      <w:r w:rsidRPr="004C75D6">
        <w:rPr>
          <w:rFonts w:eastAsia="Calibri" w:cs="Arial"/>
          <w:bCs/>
          <w:i/>
          <w:iCs/>
          <w:color w:val="000000"/>
          <w:szCs w:val="20"/>
        </w:rPr>
        <w:t>(nếu có).</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16. Hồ sơ kèm theo</w:t>
      </w:r>
    </w:p>
    <w:p w:rsidR="00C7406E" w:rsidRPr="004C75D6" w:rsidRDefault="00C7406E"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C7406E" w:rsidRPr="004C75D6" w:rsidRDefault="00C7406E" w:rsidP="004C75D6">
      <w:pPr>
        <w:adjustRightInd w:val="0"/>
        <w:snapToGrid w:val="0"/>
        <w:jc w:val="center"/>
        <w:rPr>
          <w:rFonts w:eastAsia="Calibri" w:cs="Arial"/>
          <w:bCs/>
          <w:color w:val="00000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64"/>
        <w:gridCol w:w="5562"/>
      </w:tblGrid>
      <w:tr w:rsidR="00C7406E" w:rsidRPr="004C75D6" w:rsidTr="007F3BBF">
        <w:trPr>
          <w:tblCellSpacing w:w="0" w:type="dxa"/>
        </w:trPr>
        <w:tc>
          <w:tcPr>
            <w:tcW w:w="1919" w:type="pct"/>
            <w:shd w:val="clear" w:color="auto" w:fill="FFFFFF"/>
            <w:hideMark/>
          </w:tcPr>
          <w:p w:rsidR="00C7406E" w:rsidRPr="004C75D6" w:rsidRDefault="00C7406E"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081" w:type="pct"/>
            <w:shd w:val="clear" w:color="auto" w:fill="FFFFFF"/>
            <w:hideMark/>
          </w:tcPr>
          <w:p w:rsidR="00C7406E" w:rsidRPr="004C75D6" w:rsidRDefault="00C7406E"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Tên cơ quan đề xuất dự án</w:t>
            </w:r>
            <w:r w:rsidRPr="004C75D6">
              <w:rPr>
                <w:rFonts w:eastAsia="Calibri" w:cs="Arial"/>
                <w:bCs/>
                <w:color w:val="000000"/>
                <w:szCs w:val="20"/>
              </w:rPr>
              <w:br/>
            </w:r>
            <w:r w:rsidRPr="004C75D6">
              <w:rPr>
                <w:rFonts w:eastAsia="Calibri" w:cs="Arial"/>
                <w:bCs/>
                <w:i/>
                <w:iCs/>
                <w:color w:val="000000"/>
                <w:szCs w:val="20"/>
              </w:rPr>
              <w:t>(Người có thẩm quyền ký, ghi rõ họ tên,</w:t>
            </w:r>
            <w:r w:rsidRPr="004C75D6">
              <w:rPr>
                <w:rFonts w:eastAsia="Calibri" w:cs="Arial"/>
                <w:bCs/>
                <w:i/>
                <w:iCs/>
                <w:color w:val="000000"/>
                <w:szCs w:val="20"/>
              </w:rPr>
              <w:br/>
              <w:t>chức danh và đóng dấu)</w:t>
            </w:r>
          </w:p>
        </w:tc>
      </w:tr>
    </w:tbl>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 </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Trường hợp pháp luật về xây dựng quy định lập báo cáo nghiên cứu tiền khả thi thì cơ quan nhà nước có thẩm quyền được sử dụng báo cáo nghiên cứu tiền khả thi thay cho đề xuất dự án đầu tư này.</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Cs/>
          <w:color w:val="000000"/>
          <w:szCs w:val="20"/>
        </w:rPr>
        <w:t> 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đường/lô…, tên khu, phường/xã, tỉnh/thành phố.</w:t>
      </w:r>
    </w:p>
    <w:p w:rsidR="00C7406E" w:rsidRPr="004C75D6" w:rsidRDefault="00C7406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6E"/>
    <w:rsid w:val="000737B1"/>
    <w:rsid w:val="00371B12"/>
    <w:rsid w:val="003E6ED8"/>
    <w:rsid w:val="00422C7B"/>
    <w:rsid w:val="00456E27"/>
    <w:rsid w:val="005E3494"/>
    <w:rsid w:val="006C5A10"/>
    <w:rsid w:val="008B3F3C"/>
    <w:rsid w:val="009C53AF"/>
    <w:rsid w:val="00C7406E"/>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7A454-AC18-4F24-BA1A-81A95CCB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0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0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40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40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40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40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40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0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0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40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40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0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0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0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06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7406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740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0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40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06E"/>
    <w:rPr>
      <w:i/>
      <w:iCs/>
      <w:color w:val="404040" w:themeColor="text1" w:themeTint="BF"/>
    </w:rPr>
  </w:style>
  <w:style w:type="paragraph" w:styleId="ListParagraph">
    <w:name w:val="List Paragraph"/>
    <w:basedOn w:val="Normal"/>
    <w:uiPriority w:val="34"/>
    <w:qFormat/>
    <w:rsid w:val="00C7406E"/>
    <w:pPr>
      <w:ind w:left="720"/>
      <w:contextualSpacing/>
    </w:pPr>
  </w:style>
  <w:style w:type="character" w:styleId="IntenseEmphasis">
    <w:name w:val="Intense Emphasis"/>
    <w:basedOn w:val="DefaultParagraphFont"/>
    <w:uiPriority w:val="21"/>
    <w:qFormat/>
    <w:rsid w:val="00C7406E"/>
    <w:rPr>
      <w:i/>
      <w:iCs/>
      <w:color w:val="2F5496" w:themeColor="accent1" w:themeShade="BF"/>
    </w:rPr>
  </w:style>
  <w:style w:type="paragraph" w:styleId="IntenseQuote">
    <w:name w:val="Intense Quote"/>
    <w:basedOn w:val="Normal"/>
    <w:next w:val="Normal"/>
    <w:link w:val="IntenseQuoteChar"/>
    <w:uiPriority w:val="30"/>
    <w:qFormat/>
    <w:rsid w:val="00C7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06E"/>
    <w:rPr>
      <w:i/>
      <w:iCs/>
      <w:color w:val="2F5496" w:themeColor="accent1" w:themeShade="BF"/>
    </w:rPr>
  </w:style>
  <w:style w:type="character" w:styleId="IntenseReference">
    <w:name w:val="Intense Reference"/>
    <w:basedOn w:val="DefaultParagraphFont"/>
    <w:uiPriority w:val="32"/>
    <w:qFormat/>
    <w:rsid w:val="00C74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